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10" w:leftChars="100"/>
        <w:contextualSpacing/>
        <w:jc w:val="center"/>
        <w:rPr>
          <w:rFonts w:ascii="宋体" w:hAnsi="宋体" w:cs="宋体"/>
          <w:b/>
          <w:sz w:val="44"/>
          <w:szCs w:val="44"/>
        </w:rPr>
      </w:pPr>
      <w:r>
        <w:rPr>
          <w:rFonts w:hint="eastAsia" w:ascii="宋体" w:hAnsi="宋体" w:cs="Arial"/>
          <w:b/>
          <w:sz w:val="44"/>
          <w:szCs w:val="44"/>
        </w:rPr>
        <w:t>湖北省药品集中采购系统</w:t>
      </w:r>
    </w:p>
    <w:p>
      <w:pPr>
        <w:spacing w:line="360" w:lineRule="auto"/>
        <w:ind w:left="210" w:leftChars="100"/>
        <w:contextualSpacing/>
        <w:jc w:val="center"/>
        <w:rPr>
          <w:b/>
          <w:sz w:val="44"/>
          <w:szCs w:val="44"/>
        </w:rPr>
      </w:pPr>
      <w:r>
        <w:rPr>
          <w:rFonts w:hint="eastAsia" w:ascii="宋体" w:hAnsi="宋体" w:cs="Batang"/>
          <w:b/>
          <w:sz w:val="44"/>
          <w:szCs w:val="44"/>
        </w:rPr>
        <w:t>生产企业</w:t>
      </w:r>
      <w:r>
        <w:rPr>
          <w:rFonts w:hint="eastAsia"/>
          <w:b/>
          <w:sz w:val="44"/>
          <w:szCs w:val="44"/>
        </w:rPr>
        <w:t>操作</w:t>
      </w:r>
      <w:r>
        <w:rPr>
          <w:b/>
          <w:sz w:val="44"/>
          <w:szCs w:val="44"/>
        </w:rPr>
        <w:t>手册</w:t>
      </w:r>
    </w:p>
    <w:p>
      <w:pPr>
        <w:spacing w:line="360" w:lineRule="auto"/>
        <w:ind w:left="210" w:leftChars="100"/>
        <w:contextualSpacing/>
        <w:jc w:val="center"/>
        <w:rPr>
          <w:b/>
          <w:sz w:val="44"/>
          <w:szCs w:val="44"/>
        </w:rPr>
      </w:pPr>
    </w:p>
    <w:p>
      <w:pPr>
        <w:spacing w:line="360" w:lineRule="auto"/>
        <w:ind w:left="210" w:leftChars="100"/>
        <w:contextualSpacing/>
        <w:jc w:val="left"/>
        <w:rPr>
          <w:b/>
          <w:szCs w:val="21"/>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pStyle w:val="2"/>
      </w:pPr>
      <w:r>
        <w:rPr>
          <w:rFonts w:hint="eastAsia"/>
          <w:sz w:val="32"/>
        </w:rPr>
        <w:t>一、</w:t>
      </w:r>
      <w:r>
        <w:rPr>
          <w:sz w:val="32"/>
        </w:rPr>
        <w:t>登录系统</w:t>
      </w:r>
    </w:p>
    <w:p>
      <w:pPr>
        <w:spacing w:line="360" w:lineRule="auto"/>
        <w:ind w:left="210" w:leftChars="100"/>
        <w:contextualSpacing/>
        <w:jc w:val="left"/>
        <w:rPr>
          <w:sz w:val="28"/>
          <w:szCs w:val="28"/>
        </w:rPr>
      </w:pPr>
      <w:r>
        <w:rPr>
          <w:rFonts w:hint="eastAsia"/>
          <w:sz w:val="28"/>
          <w:szCs w:val="28"/>
        </w:rPr>
        <w:t>如图（1）</w:t>
      </w:r>
      <w:r>
        <w:rPr>
          <w:sz w:val="28"/>
          <w:szCs w:val="28"/>
        </w:rPr>
        <w:t>所示：</w:t>
      </w:r>
    </w:p>
    <w:p>
      <w:pPr>
        <w:ind w:left="210" w:leftChars="100"/>
        <w:jc w:val="left"/>
        <w:rPr>
          <w:sz w:val="28"/>
          <w:szCs w:val="28"/>
        </w:rPr>
      </w:pPr>
      <w:r>
        <w:rPr>
          <w:rFonts w:hint="eastAsia"/>
          <w:sz w:val="28"/>
          <w:szCs w:val="28"/>
        </w:rPr>
        <w:t>门户网站地址：</w:t>
      </w:r>
      <w:r>
        <w:rPr>
          <w:color w:val="0070C0"/>
          <w:sz w:val="28"/>
          <w:szCs w:val="24"/>
          <w14:shadow w14:blurRad="38100" w14:dist="25400" w14:dir="5400000" w14:sx="100000" w14:sy="100000" w14:kx="0" w14:ky="0" w14:algn="ctr">
            <w14:srgbClr w14:val="6E747A">
              <w14:alpha w14:val="57000"/>
            </w14:srgbClr>
          </w14:shadow>
        </w:rPr>
        <w:t>http://www.hbyxjzcg.cn/</w:t>
      </w:r>
    </w:p>
    <w:p>
      <w:pPr>
        <w:spacing w:line="360" w:lineRule="auto"/>
        <w:ind w:left="210" w:leftChars="100"/>
        <w:contextualSpacing/>
      </w:pPr>
      <w:r>
        <w:drawing>
          <wp:inline distT="0" distB="0" distL="114300" distR="114300">
            <wp:extent cx="5267960" cy="2687320"/>
            <wp:effectExtent l="0" t="0" r="508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67960" cy="2687320"/>
                    </a:xfrm>
                    <a:prstGeom prst="rect">
                      <a:avLst/>
                    </a:prstGeom>
                    <a:noFill/>
                    <a:ln>
                      <a:noFill/>
                    </a:ln>
                  </pic:spPr>
                </pic:pic>
              </a:graphicData>
            </a:graphic>
          </wp:inline>
        </w:drawing>
      </w:r>
    </w:p>
    <w:p>
      <w:pPr>
        <w:spacing w:line="360" w:lineRule="auto"/>
        <w:ind w:left="210" w:leftChars="100"/>
        <w:contextualSpacing/>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pPr>
        <w:pStyle w:val="12"/>
        <w:numPr>
          <w:ilvl w:val="1"/>
          <w:numId w:val="1"/>
        </w:numPr>
        <w:spacing w:line="360" w:lineRule="auto"/>
        <w:ind w:left="210" w:leftChars="100" w:firstLineChars="0"/>
        <w:contextualSpacing/>
        <w:rPr>
          <w:sz w:val="28"/>
          <w:szCs w:val="28"/>
        </w:rPr>
      </w:pPr>
      <w:r>
        <w:rPr>
          <w:sz w:val="28"/>
          <w:szCs w:val="28"/>
        </w:rPr>
        <w:t>输入</w:t>
      </w:r>
      <w:r>
        <w:rPr>
          <w:rFonts w:hint="eastAsia"/>
          <w:sz w:val="28"/>
          <w:szCs w:val="28"/>
        </w:rPr>
        <w:t>生产企业</w:t>
      </w:r>
      <w:r>
        <w:rPr>
          <w:sz w:val="28"/>
          <w:szCs w:val="28"/>
        </w:rPr>
        <w:t>用户名，密码</w:t>
      </w:r>
      <w:r>
        <w:rPr>
          <w:rFonts w:hint="eastAsia"/>
          <w:sz w:val="28"/>
          <w:szCs w:val="28"/>
        </w:rPr>
        <w:t>，验证码。登录系统。</w:t>
      </w:r>
    </w:p>
    <w:p>
      <w:pPr>
        <w:pStyle w:val="3"/>
      </w:pPr>
      <w:r>
        <w:rPr>
          <w:rFonts w:hint="eastAsia"/>
        </w:rPr>
        <w:t>二、修改</w:t>
      </w:r>
      <w:r>
        <w:t>密码</w:t>
      </w:r>
    </w:p>
    <w:p>
      <w:pPr>
        <w:spacing w:line="360" w:lineRule="auto"/>
        <w:ind w:left="210" w:leftChars="100"/>
        <w:contextualSpacing/>
        <w:jc w:val="left"/>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b/>
          <w:sz w:val="28"/>
          <w:szCs w:val="28"/>
        </w:rPr>
        <w:t>【</w:t>
      </w:r>
      <w:r>
        <w:rPr>
          <w:b/>
          <w:sz w:val="28"/>
          <w:szCs w:val="28"/>
        </w:rPr>
        <w:t>修改密码</w:t>
      </w:r>
      <w:r>
        <w:rPr>
          <w:rFonts w:hint="eastAsia"/>
          <w:b/>
          <w:sz w:val="28"/>
          <w:szCs w:val="28"/>
        </w:rPr>
        <w:t>】</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（2）</w:t>
      </w:r>
      <w:r>
        <w:rPr>
          <w:sz w:val="28"/>
          <w:szCs w:val="28"/>
        </w:rPr>
        <w:t>所示：</w:t>
      </w:r>
      <w:r>
        <w:rPr>
          <w:sz w:val="28"/>
          <w:szCs w:val="28"/>
        </w:rPr>
        <w:drawing>
          <wp:inline distT="0" distB="0" distL="0" distR="0">
            <wp:extent cx="5274310" cy="2605405"/>
            <wp:effectExtent l="0" t="0" r="2540" b="4445"/>
            <wp:docPr id="7" name="图片 7" descr="C:\Users\ELIAN-~1\AppData\Local\Temp\1620374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ELIAN-~1\AppData\Local\Temp\1620374386(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605436"/>
                    </a:xfrm>
                    <a:prstGeom prst="rect">
                      <a:avLst/>
                    </a:prstGeom>
                    <a:noFill/>
                    <a:ln>
                      <a:noFill/>
                    </a:ln>
                  </pic:spPr>
                </pic:pic>
              </a:graphicData>
            </a:graphic>
          </wp:inline>
        </w:drawing>
      </w:r>
    </w:p>
    <w:p>
      <w:pPr>
        <w:spacing w:line="360" w:lineRule="auto"/>
        <w:ind w:left="210" w:leftChars="100"/>
        <w:contextualSpacing/>
        <w:jc w:val="center"/>
        <w:rPr>
          <w:sz w:val="28"/>
          <w:szCs w:val="28"/>
        </w:rPr>
      </w:pPr>
      <w:r>
        <w:rPr>
          <w:rFonts w:hint="eastAsia"/>
          <w:sz w:val="28"/>
          <w:szCs w:val="28"/>
        </w:rPr>
        <w:t xml:space="preserve"> 图</w:t>
      </w:r>
      <w:r>
        <w:rPr>
          <w:sz w:val="28"/>
          <w:szCs w:val="28"/>
        </w:rPr>
        <w:t>(</w:t>
      </w:r>
      <w:r>
        <w:rPr>
          <w:rFonts w:hint="eastAsia"/>
          <w:sz w:val="28"/>
          <w:szCs w:val="28"/>
        </w:rPr>
        <w:t>2</w:t>
      </w:r>
      <w:r>
        <w:rPr>
          <w:sz w:val="28"/>
          <w:szCs w:val="28"/>
        </w:rPr>
        <w:t>)</w:t>
      </w:r>
    </w:p>
    <w:p>
      <w:pPr>
        <w:spacing w:line="360" w:lineRule="auto"/>
        <w:ind w:left="210" w:leftChars="100"/>
        <w:contextualSpacing/>
        <w:rPr>
          <w:sz w:val="28"/>
          <w:szCs w:val="28"/>
        </w:rPr>
      </w:pPr>
    </w:p>
    <w:p>
      <w:pPr>
        <w:spacing w:line="360" w:lineRule="auto"/>
        <w:ind w:left="210" w:leftChars="100"/>
        <w:contextualSpacing/>
        <w:rPr>
          <w:sz w:val="28"/>
          <w:szCs w:val="28"/>
        </w:rPr>
      </w:pPr>
      <w:r>
        <w:rPr>
          <w:sz w:val="28"/>
          <w:szCs w:val="28"/>
        </w:rPr>
        <w:t>（</w:t>
      </w:r>
      <w:r>
        <w:rPr>
          <w:rFonts w:hint="eastAsia"/>
          <w:sz w:val="28"/>
          <w:szCs w:val="28"/>
        </w:rPr>
        <w:t>4）输入原始密码和新密码后点击确定修改，如图（3）</w:t>
      </w:r>
      <w:r>
        <w:rPr>
          <w:sz w:val="28"/>
          <w:szCs w:val="28"/>
        </w:rPr>
        <w:t>所示：</w:t>
      </w:r>
    </w:p>
    <w:p>
      <w:pPr>
        <w:spacing w:line="360" w:lineRule="auto"/>
        <w:ind w:left="210" w:leftChars="100"/>
        <w:contextualSpacing/>
        <w:jc w:val="center"/>
      </w:pPr>
      <w:r>
        <w:drawing>
          <wp:inline distT="0" distB="0" distL="114300" distR="114300">
            <wp:extent cx="5269230" cy="260794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9230" cy="2607945"/>
                    </a:xfrm>
                    <a:prstGeom prst="rect">
                      <a:avLst/>
                    </a:prstGeom>
                    <a:noFill/>
                    <a:ln w="9525">
                      <a:noFill/>
                    </a:ln>
                  </pic:spPr>
                </pic:pic>
              </a:graphicData>
            </a:graphic>
          </wp:inline>
        </w:drawing>
      </w:r>
    </w:p>
    <w:p>
      <w:pPr>
        <w:spacing w:line="360" w:lineRule="auto"/>
        <w:ind w:left="210" w:leftChars="100"/>
        <w:contextualSpacing/>
        <w:jc w:val="center"/>
        <w:rPr>
          <w:sz w:val="28"/>
          <w:szCs w:val="28"/>
        </w:rPr>
      </w:pPr>
      <w:r>
        <w:rPr>
          <w:rFonts w:hint="eastAsia"/>
          <w:sz w:val="28"/>
          <w:szCs w:val="28"/>
        </w:rPr>
        <w:t>图(3)</w:t>
      </w:r>
    </w:p>
    <w:p>
      <w:pPr>
        <w:pStyle w:val="3"/>
      </w:pPr>
      <w:r>
        <w:rPr>
          <w:rFonts w:hint="eastAsia"/>
        </w:rPr>
        <w:t>三、进入</w:t>
      </w:r>
      <w:r>
        <w:t>交易系统</w:t>
      </w:r>
    </w:p>
    <w:p>
      <w:pPr>
        <w:spacing w:line="360" w:lineRule="auto"/>
        <w:ind w:left="210" w:leftChars="100"/>
        <w:contextualSpacing/>
        <w:rPr>
          <w:sz w:val="28"/>
          <w:szCs w:val="28"/>
        </w:rPr>
      </w:pPr>
      <w:r>
        <w:rPr>
          <w:sz w:val="28"/>
          <w:szCs w:val="28"/>
        </w:rPr>
        <w:tab/>
      </w:r>
      <w:r>
        <w:rPr>
          <w:sz w:val="28"/>
          <w:szCs w:val="28"/>
        </w:rPr>
        <w:tab/>
      </w:r>
      <w:r>
        <w:rPr>
          <w:rFonts w:hint="eastAsia"/>
          <w:sz w:val="28"/>
          <w:szCs w:val="28"/>
        </w:rPr>
        <w:t>交易系统主体流程，如图（4）所示：</w:t>
      </w:r>
    </w:p>
    <w:p>
      <w:pPr>
        <w:spacing w:line="360" w:lineRule="auto"/>
        <w:ind w:left="210" w:leftChars="100"/>
        <w:contextualSpacing/>
        <w:rPr>
          <w:sz w:val="28"/>
          <w:szCs w:val="28"/>
        </w:rPr>
      </w:pPr>
      <w:r>
        <w:drawing>
          <wp:inline distT="0" distB="0" distL="114300" distR="114300">
            <wp:extent cx="5269865" cy="2865755"/>
            <wp:effectExtent l="0" t="0" r="698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9865" cy="2865755"/>
                    </a:xfrm>
                    <a:prstGeom prst="rect">
                      <a:avLst/>
                    </a:prstGeom>
                    <a:noFill/>
                    <a:ln w="9525">
                      <a:noFill/>
                    </a:ln>
                  </pic:spPr>
                </pic:pic>
              </a:graphicData>
            </a:graphic>
          </wp:inline>
        </w:drawing>
      </w:r>
    </w:p>
    <w:p>
      <w:pPr>
        <w:spacing w:line="360" w:lineRule="auto"/>
        <w:ind w:left="210" w:leftChars="100"/>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r>
        <w:rPr>
          <w:rFonts w:hint="eastAsia"/>
          <w:sz w:val="28"/>
          <w:szCs w:val="28"/>
        </w:rPr>
        <w:t>图（4）</w:t>
      </w:r>
    </w:p>
    <w:p>
      <w:pPr>
        <w:pStyle w:val="4"/>
      </w:pPr>
      <w:r>
        <w:rPr>
          <w:rFonts w:hint="eastAsia"/>
        </w:rPr>
        <w:t>3.1采购目录查看</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功能主要供</w:t>
      </w:r>
      <w:r>
        <w:rPr>
          <w:rFonts w:hint="eastAsia"/>
          <w:sz w:val="28"/>
          <w:szCs w:val="28"/>
        </w:rPr>
        <w:t>本企业</w:t>
      </w:r>
      <w:r>
        <w:rPr>
          <w:sz w:val="28"/>
          <w:szCs w:val="28"/>
        </w:rPr>
        <w:t>查询系统中本企业下</w:t>
      </w:r>
      <w:r>
        <w:rPr>
          <w:rFonts w:hint="eastAsia"/>
          <w:sz w:val="28"/>
          <w:szCs w:val="28"/>
        </w:rPr>
        <w:t>的药品</w:t>
      </w:r>
      <w:r>
        <w:rPr>
          <w:sz w:val="28"/>
          <w:szCs w:val="28"/>
        </w:rPr>
        <w:t>目录</w:t>
      </w:r>
      <w:r>
        <w:rPr>
          <w:rFonts w:hint="eastAsia"/>
          <w:sz w:val="28"/>
          <w:szCs w:val="28"/>
        </w:rPr>
        <w:t>数据。</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【采购目录查看</w:t>
      </w:r>
      <w:r>
        <w:rPr>
          <w:b/>
          <w:sz w:val="28"/>
          <w:szCs w:val="28"/>
        </w:rPr>
        <w:t>-</w:t>
      </w:r>
      <w:r>
        <w:rPr>
          <w:rFonts w:hint="eastAsia"/>
          <w:b/>
          <w:sz w:val="28"/>
          <w:szCs w:val="28"/>
        </w:rPr>
        <w:t>省级药品采购目录</w:t>
      </w:r>
      <w:r>
        <w:rPr>
          <w:b/>
          <w:sz w:val="28"/>
          <w:szCs w:val="28"/>
        </w:rPr>
        <w:t>】</w:t>
      </w:r>
      <w:r>
        <w:rPr>
          <w:rFonts w:hint="eastAsia"/>
          <w:sz w:val="28"/>
          <w:szCs w:val="28"/>
        </w:rPr>
        <w:t>进入挂网目录查看功能</w:t>
      </w:r>
      <w:r>
        <w:rPr>
          <w:sz w:val="28"/>
          <w:szCs w:val="28"/>
        </w:rPr>
        <w:t>，</w:t>
      </w:r>
      <w:r>
        <w:rPr>
          <w:rFonts w:hint="eastAsia"/>
          <w:sz w:val="28"/>
          <w:szCs w:val="28"/>
        </w:rPr>
        <w:t>可</w:t>
      </w:r>
      <w:r>
        <w:rPr>
          <w:sz w:val="28"/>
          <w:szCs w:val="28"/>
        </w:rPr>
        <w:t>查看系统中本企业下的</w:t>
      </w:r>
      <w:r>
        <w:rPr>
          <w:rFonts w:hint="eastAsia"/>
          <w:sz w:val="28"/>
          <w:szCs w:val="28"/>
        </w:rPr>
        <w:t>常用的</w:t>
      </w:r>
      <w:r>
        <w:rPr>
          <w:sz w:val="28"/>
          <w:szCs w:val="28"/>
        </w:rPr>
        <w:t>挂网药品目录。如</w:t>
      </w:r>
      <w:r>
        <w:rPr>
          <w:rFonts w:hint="eastAsia"/>
          <w:sz w:val="28"/>
          <w:szCs w:val="28"/>
        </w:rPr>
        <w:t>图（5）</w:t>
      </w:r>
      <w:r>
        <w:rPr>
          <w:sz w:val="28"/>
          <w:szCs w:val="28"/>
        </w:rPr>
        <w:t>所示</w:t>
      </w:r>
    </w:p>
    <w:p>
      <w:pPr>
        <w:pStyle w:val="12"/>
        <w:spacing w:line="360" w:lineRule="auto"/>
        <w:ind w:left="210" w:leftChars="100" w:firstLine="0" w:firstLineChars="0"/>
        <w:contextualSpacing/>
        <w:jc w:val="left"/>
        <w:rPr>
          <w:sz w:val="28"/>
          <w:szCs w:val="28"/>
        </w:rPr>
      </w:pPr>
      <w:r>
        <w:drawing>
          <wp:inline distT="0" distB="0" distL="0" distR="0">
            <wp:extent cx="5274310" cy="30962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3096260"/>
                    </a:xfrm>
                    <a:prstGeom prst="rect">
                      <a:avLst/>
                    </a:prstGeom>
                  </pic:spPr>
                </pic:pic>
              </a:graphicData>
            </a:graphic>
          </wp:inline>
        </w:drawing>
      </w:r>
    </w:p>
    <w:p>
      <w:pPr>
        <w:spacing w:line="360" w:lineRule="auto"/>
        <w:ind w:left="210" w:leftChars="100"/>
        <w:contextualSpacing/>
        <w:jc w:val="center"/>
        <w:rPr>
          <w:b/>
          <w:sz w:val="28"/>
          <w:szCs w:val="28"/>
        </w:rPr>
      </w:pPr>
      <w:r>
        <w:rPr>
          <w:rFonts w:hint="eastAsia"/>
          <w:b/>
          <w:sz w:val="28"/>
          <w:szCs w:val="28"/>
        </w:rPr>
        <w:t>图5</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【采购目录查看</w:t>
      </w:r>
      <w:r>
        <w:rPr>
          <w:b/>
          <w:sz w:val="28"/>
          <w:szCs w:val="28"/>
        </w:rPr>
        <w:t>-</w:t>
      </w:r>
      <w:r>
        <w:rPr>
          <w:rFonts w:hint="eastAsia"/>
          <w:b/>
          <w:sz w:val="28"/>
          <w:szCs w:val="28"/>
        </w:rPr>
        <w:t>省级药品采购目录</w:t>
      </w:r>
      <w:r>
        <w:rPr>
          <w:b/>
          <w:sz w:val="28"/>
          <w:szCs w:val="28"/>
        </w:rPr>
        <w:t>】</w:t>
      </w:r>
      <w:r>
        <w:rPr>
          <w:rFonts w:hint="eastAsia"/>
          <w:sz w:val="28"/>
          <w:szCs w:val="28"/>
        </w:rPr>
        <w:t>进入挂网目录查看功能</w:t>
      </w:r>
      <w:r>
        <w:rPr>
          <w:sz w:val="28"/>
          <w:szCs w:val="28"/>
        </w:rPr>
        <w:t>，</w:t>
      </w:r>
      <w:r>
        <w:rPr>
          <w:rFonts w:hint="eastAsia"/>
          <w:sz w:val="28"/>
          <w:szCs w:val="28"/>
        </w:rPr>
        <w:t>可</w:t>
      </w:r>
      <w:r>
        <w:rPr>
          <w:sz w:val="28"/>
          <w:szCs w:val="28"/>
        </w:rPr>
        <w:t>查看系统中本企业下的</w:t>
      </w:r>
      <w:r>
        <w:rPr>
          <w:rFonts w:hint="eastAsia"/>
          <w:sz w:val="28"/>
          <w:szCs w:val="28"/>
        </w:rPr>
        <w:t>非常用的</w:t>
      </w:r>
      <w:r>
        <w:rPr>
          <w:sz w:val="28"/>
          <w:szCs w:val="28"/>
        </w:rPr>
        <w:t>挂网药品目录。如</w:t>
      </w:r>
      <w:r>
        <w:rPr>
          <w:rFonts w:hint="eastAsia"/>
          <w:sz w:val="28"/>
          <w:szCs w:val="28"/>
        </w:rPr>
        <w:t>图</w:t>
      </w:r>
      <w:r>
        <w:rPr>
          <w:sz w:val="28"/>
          <w:szCs w:val="28"/>
        </w:rPr>
        <w:t>所示</w:t>
      </w:r>
    </w:p>
    <w:p>
      <w:pPr>
        <w:spacing w:line="360" w:lineRule="auto"/>
        <w:ind w:left="210" w:leftChars="100"/>
        <w:contextualSpacing/>
        <w:rPr>
          <w:b/>
          <w:sz w:val="28"/>
          <w:szCs w:val="28"/>
        </w:rPr>
      </w:pPr>
      <w:r>
        <w:drawing>
          <wp:inline distT="0" distB="0" distL="0" distR="0">
            <wp:extent cx="5274310" cy="31070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3107055"/>
                    </a:xfrm>
                    <a:prstGeom prst="rect">
                      <a:avLst/>
                    </a:prstGeom>
                  </pic:spPr>
                </pic:pic>
              </a:graphicData>
            </a:graphic>
          </wp:inline>
        </w:drawing>
      </w:r>
    </w:p>
    <w:p>
      <w:pPr>
        <w:spacing w:line="360" w:lineRule="auto"/>
        <w:ind w:left="210" w:leftChars="100"/>
        <w:contextualSpacing/>
        <w:rPr>
          <w:rFonts w:hint="eastAsia"/>
          <w:b/>
          <w:color w:val="FF0000"/>
          <w:sz w:val="28"/>
          <w:szCs w:val="28"/>
        </w:rPr>
      </w:pPr>
      <w:r>
        <w:rPr>
          <w:rFonts w:hint="eastAsia"/>
          <w:b/>
          <w:color w:val="FF0000"/>
          <w:sz w:val="28"/>
          <w:szCs w:val="28"/>
        </w:rPr>
        <w:t>说明：“省级常用挂网目录”和“省级非常用挂网目录”，根据交易情况适时调整，“省级常用挂网目录”截止到当天3年内有交易药品，“省级非常用挂网目录”截止到当天3年内无交易药品，动态更新。“省级非常用挂网目录”不影响采购</w:t>
      </w:r>
    </w:p>
    <w:p>
      <w:pPr>
        <w:pStyle w:val="4"/>
        <w:rPr>
          <w:rFonts w:hint="default"/>
          <w:lang w:val="en-US" w:eastAsia="zh-CN"/>
        </w:rPr>
      </w:pPr>
      <w:r>
        <w:rPr>
          <w:rFonts w:hint="eastAsia"/>
          <w:lang w:val="en-US" w:eastAsia="zh-CN"/>
        </w:rPr>
        <w:t>3.1.1 产品信息管理</w:t>
      </w:r>
    </w:p>
    <w:p>
      <w:pPr>
        <w:spacing w:line="360" w:lineRule="auto"/>
        <w:ind w:firstLine="280" w:firstLineChars="100"/>
        <w:contextualSpacing/>
        <w:jc w:val="left"/>
        <w:rPr>
          <w:sz w:val="28"/>
          <w:szCs w:val="28"/>
        </w:rPr>
      </w:pPr>
      <w:r>
        <w:rPr>
          <w:rFonts w:hint="eastAsia"/>
          <w:sz w:val="28"/>
          <w:szCs w:val="28"/>
        </w:rPr>
        <w:t>1、系统功能说明</w:t>
      </w:r>
      <w:r>
        <w:rPr>
          <w:sz w:val="28"/>
          <w:szCs w:val="28"/>
        </w:rPr>
        <w:t>：</w:t>
      </w:r>
    </w:p>
    <w:p>
      <w:pPr>
        <w:spacing w:line="360" w:lineRule="auto"/>
        <w:ind w:firstLine="280" w:firstLineChars="100"/>
        <w:contextualSpacing/>
        <w:jc w:val="left"/>
        <w:rPr>
          <w:rFonts w:hint="eastAsia"/>
          <w:sz w:val="28"/>
          <w:szCs w:val="28"/>
          <w:lang w:val="en-US" w:eastAsia="zh-CN"/>
        </w:rPr>
      </w:pPr>
      <w:r>
        <w:rPr>
          <w:rFonts w:hint="eastAsia"/>
          <w:sz w:val="28"/>
          <w:szCs w:val="28"/>
          <w:lang w:val="en-US" w:eastAsia="zh-CN"/>
        </w:rPr>
        <w:t>企业自行维护药品的医保代码。</w:t>
      </w:r>
    </w:p>
    <w:p>
      <w:pPr>
        <w:numPr>
          <w:numId w:val="0"/>
        </w:numPr>
        <w:spacing w:line="360" w:lineRule="auto"/>
        <w:ind w:leftChars="100"/>
        <w:contextualSpacing/>
        <w:jc w:val="left"/>
        <w:rPr>
          <w:rFonts w:hint="eastAsia"/>
          <w:sz w:val="28"/>
          <w:szCs w:val="28"/>
          <w:lang w:val="en-US" w:eastAsia="zh-CN"/>
        </w:rPr>
      </w:pPr>
      <w:r>
        <w:rPr>
          <w:rFonts w:hint="eastAsia"/>
          <w:sz w:val="28"/>
          <w:szCs w:val="28"/>
          <w:lang w:val="en-US" w:eastAsia="zh-CN"/>
        </w:rPr>
        <w:t xml:space="preserve">2、操作说明： </w:t>
      </w:r>
    </w:p>
    <w:p>
      <w:pPr>
        <w:keepNext w:val="0"/>
        <w:keepLines w:val="0"/>
        <w:widowControl/>
        <w:suppressLineNumbers w:val="0"/>
        <w:spacing w:before="0" w:beforeAutospacing="1" w:after="0" w:afterAutospacing="1"/>
        <w:ind w:left="0" w:right="0" w:firstLine="640"/>
        <w:jc w:val="left"/>
      </w:pPr>
      <w:r>
        <w:rPr>
          <w:rFonts w:hint="eastAsia"/>
          <w:sz w:val="28"/>
          <w:szCs w:val="28"/>
          <w:lang w:val="en-US" w:eastAsia="zh-CN"/>
        </w:rPr>
        <w:t xml:space="preserve"> </w:t>
      </w:r>
      <w:r>
        <w:rPr>
          <w:rFonts w:ascii="Times New Roman" w:hAnsi="Times New Roman" w:eastAsia="宋体" w:cs="Times New Roman"/>
          <w:kern w:val="0"/>
          <w:sz w:val="24"/>
          <w:szCs w:val="24"/>
          <w:lang w:val="en-US" w:eastAsia="zh-CN" w:bidi="ar"/>
        </w:rPr>
        <w:t>步骤一：在“药品交易系统”中点击菜单【产品信息管理-已挂网目录代码维护】进入企业挂网目录页面后，目录默认显示为本企业所有挂网药品信息条。如图（1</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步骤二：选择需要更新（填报）医保代码的药品，点击信息条左侧【更新医保代码】按钮。如图（2</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ascii="Times New Roman" w:hAnsi="Times New Roman" w:eastAsia="宋体" w:cs="Times New Roman"/>
          <w:kern w:val="0"/>
          <w:sz w:val="24"/>
          <w:szCs w:val="24"/>
          <w:lang w:val="en-US" w:eastAsia="zh-CN" w:bidi="ar"/>
        </w:rPr>
        <w:drawing>
          <wp:inline distT="0" distB="0" distL="114300" distR="114300">
            <wp:extent cx="5267325" cy="2552700"/>
            <wp:effectExtent l="0" t="0" r="5715" b="7620"/>
            <wp:docPr id="3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7"/>
                    <pic:cNvPicPr>
                      <a:picLocks noChangeAspect="1"/>
                    </pic:cNvPicPr>
                  </pic:nvPicPr>
                  <pic:blipFill>
                    <a:blip r:embed="rId10"/>
                    <a:stretch>
                      <a:fillRect/>
                    </a:stretch>
                  </pic:blipFill>
                  <pic:spPr>
                    <a:xfrm>
                      <a:off x="0" y="0"/>
                      <a:ext cx="5267325" cy="25527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hint="default" w:ascii="Times New Roman" w:hAnsi="Times New Roman" w:eastAsia="宋体" w:cs="Times New Roman"/>
          <w:kern w:val="0"/>
          <w:sz w:val="24"/>
          <w:szCs w:val="24"/>
          <w:lang w:val="en-US" w:eastAsia="zh-CN" w:bidi="ar"/>
        </w:rPr>
      </w:pPr>
      <w:r>
        <w:rPr>
          <w:rFonts w:hint="eastAsia" w:cs="Times New Roman"/>
          <w:kern w:val="0"/>
          <w:sz w:val="24"/>
          <w:szCs w:val="24"/>
          <w:lang w:val="en-US" w:eastAsia="zh-CN" w:bidi="ar"/>
        </w:rPr>
        <w:t xml:space="preserve">                             图1-1</w:t>
      </w:r>
    </w:p>
    <w:p>
      <w:pPr>
        <w:keepNext w:val="0"/>
        <w:keepLines w:val="0"/>
        <w:widowControl/>
        <w:suppressLineNumbers w:val="0"/>
        <w:spacing w:before="0" w:beforeAutospacing="1" w:after="0" w:afterAutospacing="1"/>
        <w:ind w:left="0" w:right="0" w:firstLine="3780"/>
        <w:jc w:val="left"/>
      </w:pPr>
      <w:r>
        <w:rPr>
          <w:rFonts w:ascii="Times New Roman" w:hAnsi="Times New Roman" w:eastAsia="宋体" w:cs="Times New Roman"/>
          <w:kern w:val="0"/>
          <w:sz w:val="24"/>
          <w:szCs w:val="24"/>
          <w:lang w:val="en-US" w:eastAsia="zh-CN" w:bidi="ar"/>
        </w:rPr>
        <w:t>图（2</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 xml:space="preserve">步骤三：点击更新医保代码按钮之后，显示拟更新医保代码的挂网药品基本信息。如图（3） </w:t>
      </w:r>
    </w:p>
    <w:p>
      <w:pPr>
        <w:keepNext w:val="0"/>
        <w:keepLines w:val="0"/>
        <w:widowControl/>
        <w:suppressLineNumbers w:val="0"/>
        <w:spacing w:before="0" w:beforeAutospacing="1" w:after="0" w:afterAutospacing="1"/>
        <w:ind w:left="0" w:right="0"/>
        <w:jc w:val="left"/>
      </w:pPr>
      <w:r>
        <w:rPr>
          <w:rFonts w:ascii="Times New Roman" w:hAnsi="Times New Roman" w:eastAsia="宋体" w:cs="Times New Roman"/>
          <w:kern w:val="0"/>
          <w:sz w:val="24"/>
          <w:szCs w:val="24"/>
          <w:lang w:val="en-US" w:eastAsia="zh-CN" w:bidi="ar"/>
        </w:rPr>
        <w:drawing>
          <wp:inline distT="0" distB="0" distL="114300" distR="114300">
            <wp:extent cx="5257800" cy="2419350"/>
            <wp:effectExtent l="0" t="0" r="0" b="3810"/>
            <wp:docPr id="3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IMG_258"/>
                    <pic:cNvPicPr>
                      <a:picLocks noChangeAspect="1"/>
                    </pic:cNvPicPr>
                  </pic:nvPicPr>
                  <pic:blipFill>
                    <a:blip r:embed="rId11"/>
                    <a:stretch>
                      <a:fillRect/>
                    </a:stretch>
                  </pic:blipFill>
                  <pic:spPr>
                    <a:xfrm>
                      <a:off x="0" y="0"/>
                      <a:ext cx="5257800" cy="24193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firstLine="840"/>
        <w:jc w:val="left"/>
      </w:pPr>
      <w:r>
        <w:rPr>
          <w:rFonts w:ascii="Times New Roman" w:hAnsi="Times New Roman" w:eastAsia="宋体" w:cs="Times New Roman"/>
          <w:kern w:val="0"/>
          <w:sz w:val="24"/>
          <w:szCs w:val="24"/>
          <w:lang w:val="en-US" w:eastAsia="zh-CN" w:bidi="ar"/>
        </w:rPr>
        <w:t>                                            图（3</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步骤四：点击【医保药品代码维护】按钮，图（3</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），跳转至【国家药品代码库】。图（4</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right="0"/>
        <w:jc w:val="left"/>
      </w:pPr>
      <w:r>
        <w:rPr>
          <w:rFonts w:ascii="Times New Roman" w:hAnsi="Times New Roman" w:eastAsia="宋体" w:cs="Times New Roman"/>
          <w:kern w:val="0"/>
          <w:sz w:val="24"/>
          <w:szCs w:val="24"/>
          <w:lang w:val="en-US" w:eastAsia="zh-CN" w:bidi="ar"/>
        </w:rPr>
        <w:drawing>
          <wp:inline distT="0" distB="0" distL="114300" distR="114300">
            <wp:extent cx="5257800" cy="2543175"/>
            <wp:effectExtent l="0" t="0" r="0" b="1905"/>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12"/>
                    <a:stretch>
                      <a:fillRect/>
                    </a:stretch>
                  </pic:blipFill>
                  <pic:spPr>
                    <a:xfrm>
                      <a:off x="0" y="0"/>
                      <a:ext cx="5257800" cy="2543175"/>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t xml:space="preserve">                                 </w:t>
      </w:r>
      <w:r>
        <w:rPr>
          <w:rFonts w:hint="eastAsia" w:cs="Times New Roman"/>
          <w:kern w:val="0"/>
          <w:sz w:val="24"/>
          <w:szCs w:val="24"/>
          <w:lang w:val="en-US" w:eastAsia="zh-CN" w:bidi="ar"/>
        </w:rPr>
        <w:t xml:space="preserve">                  </w:t>
      </w:r>
      <w:r>
        <w:rPr>
          <w:rFonts w:ascii="Times New Roman" w:hAnsi="Times New Roman" w:eastAsia="宋体" w:cs="Times New Roman"/>
          <w:kern w:val="0"/>
          <w:sz w:val="24"/>
          <w:szCs w:val="24"/>
          <w:lang w:val="en-US" w:eastAsia="zh-CN" w:bidi="ar"/>
        </w:rPr>
        <w:t>图（4</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步骤五：输入相应查询条件（注册通用名、YPID、批准文号等），点击【查询】，显示拟更新医保代码的挂网药品的基本信息，然后双击查询结果显示的信息条。如图（5</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jc w:val="left"/>
      </w:pPr>
      <w:r>
        <w:rPr>
          <w:rFonts w:ascii="Times New Roman" w:hAnsi="Times New Roman" w:eastAsia="宋体" w:cs="Times New Roman"/>
          <w:kern w:val="0"/>
          <w:sz w:val="24"/>
          <w:szCs w:val="24"/>
          <w:lang w:val="en-US" w:eastAsia="zh-CN" w:bidi="ar"/>
        </w:rPr>
        <w:drawing>
          <wp:inline distT="0" distB="0" distL="114300" distR="114300">
            <wp:extent cx="5267325" cy="2857500"/>
            <wp:effectExtent l="0" t="0" r="5715" b="7620"/>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13"/>
                    <a:stretch>
                      <a:fillRect/>
                    </a:stretch>
                  </pic:blipFill>
                  <pic:spPr>
                    <a:xfrm>
                      <a:off x="0" y="0"/>
                      <a:ext cx="5267325" cy="28575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pPr>
      <w:r>
        <w:rPr>
          <w:rFonts w:ascii="Times New Roman" w:hAnsi="Times New Roman" w:eastAsia="宋体" w:cs="Times New Roman"/>
          <w:kern w:val="0"/>
          <w:sz w:val="24"/>
          <w:szCs w:val="24"/>
          <w:lang w:val="en-US" w:eastAsia="zh-CN" w:bidi="ar"/>
        </w:rPr>
        <w:t>                                                              图（5</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keepNext w:val="0"/>
        <w:keepLines w:val="0"/>
        <w:widowControl/>
        <w:suppressLineNumbers w:val="0"/>
        <w:spacing w:before="0" w:beforeAutospacing="1" w:after="0" w:afterAutospacing="1"/>
        <w:ind w:left="0" w:right="0" w:firstLine="640"/>
        <w:jc w:val="left"/>
      </w:pPr>
      <w:r>
        <w:rPr>
          <w:rFonts w:ascii="Times New Roman" w:hAnsi="Times New Roman" w:eastAsia="宋体" w:cs="Times New Roman"/>
          <w:kern w:val="0"/>
          <w:sz w:val="24"/>
          <w:szCs w:val="24"/>
          <w:lang w:val="en-US" w:eastAsia="zh-CN" w:bidi="ar"/>
        </w:rPr>
        <w:t>步骤六：双击信息条后跳转至图（6</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）界面后，完成以下工作： </w:t>
      </w:r>
    </w:p>
    <w:p>
      <w:pPr>
        <w:keepNext w:val="0"/>
        <w:keepLines w:val="0"/>
        <w:widowControl/>
        <w:suppressLineNumbers w:val="0"/>
        <w:spacing w:before="0" w:beforeAutospacing="1" w:after="0" w:afterAutospacing="1"/>
        <w:ind w:left="0" w:right="0" w:firstLine="800"/>
        <w:jc w:val="left"/>
      </w:pPr>
      <w:r>
        <w:rPr>
          <w:rFonts w:ascii="Times New Roman" w:hAnsi="Times New Roman" w:eastAsia="宋体" w:cs="Times New Roman"/>
          <w:kern w:val="0"/>
          <w:sz w:val="24"/>
          <w:szCs w:val="24"/>
          <w:lang w:val="en-US" w:eastAsia="zh-CN" w:bidi="ar"/>
        </w:rPr>
        <w:t xml:space="preserve">1.信息核对无误，可点击【保存】，完成该药品医保代码信息填报。 </w:t>
      </w:r>
    </w:p>
    <w:p>
      <w:pPr>
        <w:keepNext w:val="0"/>
        <w:keepLines w:val="0"/>
        <w:widowControl/>
        <w:suppressLineNumbers w:val="0"/>
        <w:spacing w:before="0" w:beforeAutospacing="1" w:after="0" w:afterAutospacing="1"/>
        <w:ind w:left="0" w:right="0" w:firstLine="800"/>
        <w:jc w:val="left"/>
      </w:pPr>
      <w:r>
        <w:rPr>
          <w:rFonts w:ascii="Times New Roman" w:hAnsi="Times New Roman" w:eastAsia="宋体" w:cs="Times New Roman"/>
          <w:kern w:val="0"/>
          <w:sz w:val="24"/>
          <w:szCs w:val="24"/>
          <w:lang w:val="en-US" w:eastAsia="zh-CN" w:bidi="ar"/>
        </w:rPr>
        <w:t xml:space="preserve">2.信息有误或保存失败，可勾选原因或填写其他原因，点击【申诉】。 </w:t>
      </w:r>
    </w:p>
    <w:p>
      <w:pPr>
        <w:keepNext w:val="0"/>
        <w:keepLines w:val="0"/>
        <w:widowControl/>
        <w:suppressLineNumbers w:val="0"/>
        <w:spacing w:before="0" w:beforeAutospacing="1" w:after="0" w:afterAutospacing="1"/>
        <w:ind w:left="0" w:right="0" w:firstLine="800"/>
        <w:jc w:val="left"/>
      </w:pPr>
      <w:r>
        <w:rPr>
          <w:rFonts w:ascii="Times New Roman" w:hAnsi="Times New Roman" w:eastAsia="宋体" w:cs="Times New Roman"/>
          <w:kern w:val="0"/>
          <w:sz w:val="24"/>
          <w:szCs w:val="24"/>
          <w:lang w:val="en-US" w:eastAsia="zh-CN" w:bidi="ar"/>
        </w:rPr>
        <w:t xml:space="preserve">3.点击【返回】，进行下一个药品医保代码信息填报。 </w:t>
      </w:r>
    </w:p>
    <w:p>
      <w:pPr>
        <w:keepNext w:val="0"/>
        <w:keepLines w:val="0"/>
        <w:widowControl/>
        <w:suppressLineNumbers w:val="0"/>
        <w:spacing w:before="0" w:beforeAutospacing="1" w:after="0" w:afterAutospacing="1"/>
        <w:ind w:left="0" w:right="0"/>
        <w:jc w:val="left"/>
      </w:pPr>
      <w:r>
        <w:rPr>
          <w:rFonts w:ascii="Times New Roman" w:hAnsi="Times New Roman" w:eastAsia="宋体" w:cs="Times New Roman"/>
          <w:kern w:val="0"/>
          <w:sz w:val="24"/>
          <w:szCs w:val="24"/>
          <w:lang w:val="en-US" w:eastAsia="zh-CN" w:bidi="ar"/>
        </w:rPr>
        <w:drawing>
          <wp:inline distT="0" distB="0" distL="114300" distR="114300">
            <wp:extent cx="5276850" cy="2581275"/>
            <wp:effectExtent l="0" t="0" r="11430" b="9525"/>
            <wp:docPr id="2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IMG_261"/>
                    <pic:cNvPicPr>
                      <a:picLocks noChangeAspect="1"/>
                    </pic:cNvPicPr>
                  </pic:nvPicPr>
                  <pic:blipFill>
                    <a:blip r:embed="rId14"/>
                    <a:stretch>
                      <a:fillRect/>
                    </a:stretch>
                  </pic:blipFill>
                  <pic:spPr>
                    <a:xfrm>
                      <a:off x="0" y="0"/>
                      <a:ext cx="5276850" cy="25812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hint="eastAsia"/>
          <w:b/>
          <w:color w:val="FF0000"/>
          <w:sz w:val="28"/>
          <w:szCs w:val="28"/>
        </w:rPr>
      </w:pPr>
      <w:r>
        <w:rPr>
          <w:rFonts w:ascii="Times New Roman" w:hAnsi="Times New Roman" w:eastAsia="宋体" w:cs="Times New Roman"/>
          <w:kern w:val="0"/>
          <w:sz w:val="24"/>
          <w:szCs w:val="24"/>
          <w:lang w:val="en-US" w:eastAsia="zh-CN" w:bidi="ar"/>
        </w:rPr>
        <w:t>                                              图（6</w:t>
      </w:r>
      <w:r>
        <w:rPr>
          <w:rFonts w:hint="eastAsia" w:cs="Times New Roman"/>
          <w:kern w:val="0"/>
          <w:sz w:val="24"/>
          <w:szCs w:val="24"/>
          <w:lang w:val="en-US" w:eastAsia="zh-CN" w:bidi="ar"/>
        </w:rPr>
        <w:t>-1</w:t>
      </w:r>
      <w:r>
        <w:rPr>
          <w:rFonts w:ascii="Times New Roman" w:hAnsi="Times New Roman" w:eastAsia="宋体" w:cs="Times New Roman"/>
          <w:kern w:val="0"/>
          <w:sz w:val="24"/>
          <w:szCs w:val="24"/>
          <w:lang w:val="en-US" w:eastAsia="zh-CN" w:bidi="ar"/>
        </w:rPr>
        <w:t xml:space="preserve">） </w:t>
      </w:r>
    </w:p>
    <w:p>
      <w:pPr>
        <w:pStyle w:val="4"/>
      </w:pPr>
      <w:r>
        <w:rPr>
          <w:rFonts w:hint="eastAsia"/>
        </w:rPr>
        <w:t>3.2配送关系</w:t>
      </w:r>
      <w:r>
        <w:t>管理</w:t>
      </w:r>
    </w:p>
    <w:p>
      <w:pPr>
        <w:spacing w:line="360" w:lineRule="auto"/>
        <w:ind w:left="210" w:leftChars="100" w:firstLine="420" w:firstLineChars="15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主要是本企业与其他配送企业建立配送关系的功能，设置方式为按药品目录设置（逐个对药品设置配送关系， 配送关系精确到县区的医院，设置完毕后，等待配送企业确认，配送企业确认后配送关系生效）。可以查询与本企业相关的配送关系信息。</w:t>
      </w:r>
    </w:p>
    <w:p>
      <w:pPr>
        <w:pStyle w:val="12"/>
        <w:spacing w:line="360" w:lineRule="auto"/>
        <w:ind w:left="210" w:leftChars="100" w:firstLine="0" w:firstLineChars="0"/>
        <w:contextualSpacing/>
        <w:jc w:val="left"/>
        <w:rPr>
          <w:sz w:val="28"/>
          <w:szCs w:val="28"/>
        </w:rPr>
      </w:pPr>
      <w:r>
        <w:rPr>
          <w:rFonts w:hint="eastAsia"/>
          <w:sz w:val="28"/>
          <w:szCs w:val="28"/>
        </w:rPr>
        <w:t>2、系统操作</w:t>
      </w:r>
      <w:r>
        <w:rPr>
          <w:sz w:val="28"/>
          <w:szCs w:val="28"/>
        </w:rPr>
        <w:t>说明：</w:t>
      </w:r>
    </w:p>
    <w:p>
      <w:pPr>
        <w:pStyle w:val="12"/>
        <w:spacing w:line="360" w:lineRule="auto"/>
        <w:ind w:left="210" w:leftChars="100" w:firstLine="0" w:firstLineChars="0"/>
        <w:contextualSpacing/>
        <w:jc w:val="left"/>
      </w:pPr>
      <w:r>
        <w:rPr>
          <w:rFonts w:hint="eastAsia"/>
          <w:sz w:val="28"/>
          <w:szCs w:val="28"/>
        </w:rPr>
        <w:t>（1）点击左侧</w:t>
      </w:r>
      <w:r>
        <w:rPr>
          <w:sz w:val="28"/>
          <w:szCs w:val="28"/>
        </w:rPr>
        <w:t>菜单</w:t>
      </w:r>
      <w:r>
        <w:rPr>
          <w:rFonts w:hint="eastAsia"/>
          <w:b/>
          <w:sz w:val="28"/>
          <w:szCs w:val="28"/>
        </w:rPr>
        <w:t>【配送关系</w:t>
      </w:r>
      <w:r>
        <w:rPr>
          <w:b/>
          <w:sz w:val="28"/>
          <w:szCs w:val="28"/>
        </w:rPr>
        <w:t>管理-</w:t>
      </w:r>
      <w:r>
        <w:rPr>
          <w:rFonts w:hint="eastAsia"/>
          <w:b/>
          <w:sz w:val="28"/>
          <w:szCs w:val="28"/>
        </w:rPr>
        <w:t>配送关系设置</w:t>
      </w:r>
      <w:r>
        <w:rPr>
          <w:b/>
          <w:sz w:val="28"/>
          <w:szCs w:val="28"/>
        </w:rPr>
        <w:t>】</w:t>
      </w:r>
      <w:r>
        <w:rPr>
          <w:rFonts w:hint="eastAsia"/>
          <w:sz w:val="28"/>
          <w:szCs w:val="28"/>
        </w:rPr>
        <w:t>进入配送关系设置页面，</w:t>
      </w:r>
      <w:r>
        <w:rPr>
          <w:sz w:val="28"/>
          <w:szCs w:val="28"/>
        </w:rPr>
        <w:t>如图</w:t>
      </w:r>
      <w:r>
        <w:rPr>
          <w:rFonts w:hint="eastAsia"/>
          <w:sz w:val="28"/>
          <w:szCs w:val="28"/>
        </w:rPr>
        <w:t>（</w:t>
      </w:r>
      <w:r>
        <w:rPr>
          <w:sz w:val="28"/>
          <w:szCs w:val="28"/>
        </w:rPr>
        <w:t>6</w:t>
      </w:r>
      <w:r>
        <w:rPr>
          <w:rFonts w:hint="eastAsia"/>
          <w:sz w:val="28"/>
          <w:szCs w:val="28"/>
        </w:rPr>
        <w:t>）</w:t>
      </w:r>
      <w:r>
        <w:rPr>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00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r>
        <w:rPr>
          <w:rFonts w:hint="eastAsia"/>
          <w:sz w:val="28"/>
          <w:szCs w:val="28"/>
        </w:rPr>
        <w:t>图（</w:t>
      </w:r>
      <w:r>
        <w:rPr>
          <w:sz w:val="28"/>
          <w:szCs w:val="28"/>
        </w:rPr>
        <w:t>6</w:t>
      </w:r>
      <w:r>
        <w:rPr>
          <w:rFonts w:hint="eastAsia"/>
          <w:sz w:val="28"/>
          <w:szCs w:val="28"/>
        </w:rPr>
        <w:t>）</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按药品目录设置</w:t>
      </w:r>
    </w:p>
    <w:p>
      <w:pPr>
        <w:pStyle w:val="12"/>
        <w:spacing w:line="360" w:lineRule="auto"/>
        <w:ind w:left="210" w:leftChars="100" w:firstLine="0" w:firstLineChars="0"/>
        <w:contextualSpacing/>
        <w:jc w:val="left"/>
        <w:rPr>
          <w:sz w:val="28"/>
          <w:szCs w:val="28"/>
        </w:rPr>
      </w:pPr>
      <w:r>
        <w:rPr>
          <w:rFonts w:hint="eastAsia"/>
          <w:sz w:val="28"/>
          <w:szCs w:val="28"/>
        </w:rPr>
        <w:t>选择【按药品目录设置】点击进入，显示的挂网药品列表中，点击操作按钮，弹出设置配送企业页面，首先在左边菜单里，选中区县，在右边呈现的配送企业中进行设置，可以按医院、区县、全市设置配送关系。删除配送需注意的是，配送企业未确认前可以删除，一旦确认后不得删除。 如图</w:t>
      </w:r>
      <w:r>
        <w:rPr>
          <w:sz w:val="28"/>
          <w:szCs w:val="28"/>
        </w:rPr>
        <w:t>（7</w:t>
      </w:r>
      <w:r>
        <w:rPr>
          <w:rFonts w:hint="eastAsia"/>
          <w:sz w:val="28"/>
          <w:szCs w:val="28"/>
        </w:rPr>
        <w:t>）所示；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117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257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29535"/>
            <wp:effectExtent l="0" t="0" r="2540" b="0"/>
            <wp:docPr id="15" name="图片 15" descr="C:\Users\ELIAN-~1\AppData\Local\Temp\16203747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ELIAN-~1\AppData\Local\Temp\1620374788(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629542"/>
                    </a:xfrm>
                    <a:prstGeom prst="rect">
                      <a:avLst/>
                    </a:prstGeom>
                    <a:noFill/>
                    <a:ln>
                      <a:noFill/>
                    </a:ln>
                  </pic:spPr>
                </pic:pic>
              </a:graphicData>
            </a:graphic>
          </wp:inline>
        </w:drawing>
      </w:r>
    </w:p>
    <w:p>
      <w:pPr>
        <w:pStyle w:val="12"/>
        <w:spacing w:line="360" w:lineRule="auto"/>
        <w:ind w:left="210" w:leftChars="100" w:firstLine="0" w:firstLineChars="0"/>
        <w:contextualSpacing/>
        <w:jc w:val="center"/>
        <w:rPr>
          <w:sz w:val="28"/>
          <w:szCs w:val="28"/>
        </w:rPr>
      </w:pPr>
      <w:r>
        <w:rPr>
          <w:sz w:val="28"/>
          <w:szCs w:val="28"/>
        </w:rPr>
        <w:t>图</w:t>
      </w:r>
      <w:r>
        <w:rPr>
          <w:rFonts w:hint="eastAsia"/>
          <w:sz w:val="28"/>
          <w:szCs w:val="28"/>
        </w:rPr>
        <w:t>（</w:t>
      </w:r>
      <w:r>
        <w:rPr>
          <w:sz w:val="28"/>
          <w:szCs w:val="28"/>
        </w:rPr>
        <w:t>7</w:t>
      </w:r>
      <w:r>
        <w:rPr>
          <w:rFonts w:hint="eastAsia"/>
          <w:sz w:val="28"/>
          <w:szCs w:val="28"/>
        </w:rPr>
        <w:t>）</w:t>
      </w:r>
    </w:p>
    <w:p>
      <w:pPr>
        <w:pStyle w:val="12"/>
        <w:spacing w:line="360" w:lineRule="auto"/>
        <w:ind w:left="210" w:leftChars="100" w:firstLine="0" w:firstLineChars="0"/>
        <w:contextualSpacing/>
        <w:jc w:val="left"/>
        <w:rPr>
          <w:rFonts w:hint="eastAsia"/>
          <w:color w:val="FF0000"/>
          <w:sz w:val="28"/>
          <w:szCs w:val="28"/>
        </w:rPr>
      </w:pPr>
      <w:r>
        <w:rPr>
          <w:rFonts w:hint="eastAsia"/>
          <w:color w:val="FF0000"/>
          <w:sz w:val="28"/>
          <w:szCs w:val="28"/>
        </w:rPr>
        <w:t>注：1</w:t>
      </w:r>
      <w:r>
        <w:rPr>
          <w:color w:val="FF0000"/>
          <w:sz w:val="28"/>
          <w:szCs w:val="28"/>
        </w:rPr>
        <w:t>.</w:t>
      </w:r>
      <w:r>
        <w:rPr>
          <w:rFonts w:hint="eastAsia"/>
          <w:color w:val="FF0000"/>
          <w:sz w:val="28"/>
          <w:szCs w:val="28"/>
        </w:rPr>
        <w:t>操作一列有设置配送企业可议价功能，此功能仅为议价药品可设置，生产企业授权配送企业议价后，医疗机构可选择直接与该配送企业议价。生产企业可看见自家产品所有配送企业的议价情况，当合同期限到期或采购量达到预采购量的1</w:t>
      </w:r>
      <w:r>
        <w:rPr>
          <w:color w:val="FF0000"/>
          <w:sz w:val="28"/>
          <w:szCs w:val="28"/>
        </w:rPr>
        <w:t>00</w:t>
      </w:r>
      <w:r>
        <w:rPr>
          <w:rFonts w:hint="eastAsia"/>
          <w:color w:val="FF0000"/>
          <w:sz w:val="28"/>
          <w:szCs w:val="28"/>
        </w:rPr>
        <w:t>%，</w:t>
      </w:r>
      <w:r>
        <w:rPr>
          <w:color w:val="FF0000"/>
          <w:sz w:val="28"/>
          <w:szCs w:val="28"/>
        </w:rPr>
        <w:t>生产企业可以解除授权的配送企业跟医疗机构的议价单或取消对配送企业的授权</w:t>
      </w:r>
      <w:r>
        <w:rPr>
          <w:rFonts w:hint="eastAsia"/>
          <w:color w:val="FF0000"/>
          <w:sz w:val="28"/>
          <w:szCs w:val="28"/>
        </w:rPr>
        <w:t>。</w:t>
      </w:r>
    </w:p>
    <w:p>
      <w:pPr>
        <w:pStyle w:val="12"/>
        <w:spacing w:line="360" w:lineRule="auto"/>
        <w:ind w:left="210" w:leftChars="100" w:firstLine="0" w:firstLineChars="0"/>
        <w:contextualSpacing/>
        <w:jc w:val="left"/>
        <w:rPr>
          <w:rFonts w:hint="eastAsia"/>
          <w:color w:val="FF0000"/>
          <w:sz w:val="28"/>
          <w:szCs w:val="28"/>
          <w:lang w:val="en-US" w:eastAsia="zh-CN"/>
        </w:rPr>
      </w:pPr>
      <w:r>
        <w:rPr>
          <w:rFonts w:hint="eastAsia"/>
          <w:color w:val="FF0000"/>
          <w:sz w:val="28"/>
          <w:szCs w:val="28"/>
          <w:lang w:val="en-US" w:eastAsia="zh-CN"/>
        </w:rPr>
        <w:t>如图（7-2）所示：</w:t>
      </w:r>
    </w:p>
    <w:p>
      <w:pPr>
        <w:pStyle w:val="12"/>
        <w:spacing w:line="360" w:lineRule="auto"/>
        <w:ind w:left="210" w:leftChars="100" w:firstLine="0" w:firstLineChars="0"/>
        <w:contextualSpacing/>
        <w:jc w:val="left"/>
      </w:pPr>
      <w:r>
        <w:drawing>
          <wp:inline distT="0" distB="0" distL="114300" distR="114300">
            <wp:extent cx="5272405" cy="3075940"/>
            <wp:effectExtent l="0" t="0" r="635" b="254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9"/>
                    <a:stretch>
                      <a:fillRect/>
                    </a:stretch>
                  </pic:blipFill>
                  <pic:spPr>
                    <a:xfrm>
                      <a:off x="0" y="0"/>
                      <a:ext cx="5272405" cy="3075940"/>
                    </a:xfrm>
                    <a:prstGeom prst="rect">
                      <a:avLst/>
                    </a:prstGeom>
                    <a:noFill/>
                    <a:ln>
                      <a:noFill/>
                    </a:ln>
                  </pic:spPr>
                </pic:pic>
              </a:graphicData>
            </a:graphic>
          </wp:inline>
        </w:drawing>
      </w:r>
    </w:p>
    <w:p>
      <w:pPr>
        <w:pStyle w:val="12"/>
        <w:spacing w:line="360" w:lineRule="auto"/>
        <w:ind w:left="210" w:leftChars="100" w:firstLine="0" w:firstLineChars="0"/>
        <w:contextualSpacing/>
        <w:jc w:val="left"/>
        <w:rPr>
          <w:rFonts w:hint="default" w:eastAsia="宋体"/>
          <w:lang w:val="en-US" w:eastAsia="zh-CN"/>
        </w:rPr>
      </w:pPr>
      <w:r>
        <w:rPr>
          <w:rFonts w:hint="eastAsia"/>
          <w:lang w:val="en-US" w:eastAsia="zh-CN"/>
        </w:rPr>
        <w:t xml:space="preserve">                                图7-2</w:t>
      </w:r>
    </w:p>
    <w:p>
      <w:pPr>
        <w:pStyle w:val="12"/>
        <w:numPr>
          <w:ilvl w:val="0"/>
          <w:numId w:val="3"/>
        </w:numPr>
        <w:spacing w:line="360" w:lineRule="auto"/>
        <w:ind w:left="210" w:leftChars="100" w:firstLine="0" w:firstLineChars="0"/>
        <w:contextualSpacing/>
        <w:jc w:val="left"/>
        <w:rPr>
          <w:rFonts w:hint="eastAsia"/>
          <w:color w:val="FF0000"/>
          <w:sz w:val="28"/>
          <w:szCs w:val="28"/>
        </w:rPr>
      </w:pPr>
      <w:r>
        <w:rPr>
          <w:color w:val="FF0000"/>
          <w:sz w:val="28"/>
          <w:szCs w:val="28"/>
        </w:rPr>
        <w:t>若想</w:t>
      </w:r>
      <w:r>
        <w:rPr>
          <w:rFonts w:hint="eastAsia"/>
          <w:color w:val="FF0000"/>
          <w:sz w:val="28"/>
          <w:szCs w:val="28"/>
        </w:rPr>
        <w:t>配送到基层医院，只能点设置</w:t>
      </w:r>
      <w:r>
        <w:rPr>
          <w:color w:val="FF0000"/>
          <w:sz w:val="28"/>
          <w:szCs w:val="28"/>
        </w:rPr>
        <w:t>当前区县配送</w:t>
      </w:r>
      <w:r>
        <w:rPr>
          <w:rFonts w:hint="eastAsia"/>
          <w:color w:val="FF0000"/>
          <w:sz w:val="28"/>
          <w:szCs w:val="28"/>
        </w:rPr>
        <w:t>。</w:t>
      </w:r>
      <w:r>
        <w:rPr>
          <w:color w:val="FF0000"/>
          <w:sz w:val="28"/>
          <w:szCs w:val="28"/>
        </w:rPr>
        <w:t>设置当前区县配送是指当前区域的基层医院</w:t>
      </w:r>
      <w:r>
        <w:rPr>
          <w:rFonts w:hint="eastAsia"/>
          <w:color w:val="FF0000"/>
          <w:sz w:val="28"/>
          <w:szCs w:val="28"/>
        </w:rPr>
        <w:t>、</w:t>
      </w:r>
      <w:r>
        <w:rPr>
          <w:color w:val="FF0000"/>
          <w:sz w:val="28"/>
          <w:szCs w:val="28"/>
        </w:rPr>
        <w:t>二级及以上医疗机构都可以配送到</w:t>
      </w:r>
      <w:r>
        <w:rPr>
          <w:rFonts w:hint="eastAsia"/>
          <w:color w:val="FF0000"/>
          <w:sz w:val="28"/>
          <w:szCs w:val="28"/>
        </w:rPr>
        <w:t>。</w:t>
      </w:r>
      <w:r>
        <w:rPr>
          <w:rFonts w:hint="eastAsia"/>
          <w:color w:val="FF0000"/>
          <w:sz w:val="28"/>
          <w:szCs w:val="28"/>
          <w:lang w:val="en-US" w:eastAsia="zh-CN"/>
        </w:rPr>
        <w:t>如图7-3</w:t>
      </w:r>
    </w:p>
    <w:p>
      <w:pPr>
        <w:pStyle w:val="12"/>
        <w:numPr>
          <w:numId w:val="0"/>
        </w:numPr>
        <w:spacing w:line="360" w:lineRule="auto"/>
        <w:ind w:leftChars="100"/>
        <w:contextualSpacing/>
        <w:jc w:val="left"/>
      </w:pPr>
      <w:r>
        <w:drawing>
          <wp:inline distT="0" distB="0" distL="114300" distR="114300">
            <wp:extent cx="5269865" cy="3035935"/>
            <wp:effectExtent l="0" t="0" r="3175" b="1206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0"/>
                    <a:stretch>
                      <a:fillRect/>
                    </a:stretch>
                  </pic:blipFill>
                  <pic:spPr>
                    <a:xfrm>
                      <a:off x="0" y="0"/>
                      <a:ext cx="5269865" cy="3035935"/>
                    </a:xfrm>
                    <a:prstGeom prst="rect">
                      <a:avLst/>
                    </a:prstGeom>
                    <a:noFill/>
                    <a:ln>
                      <a:noFill/>
                    </a:ln>
                  </pic:spPr>
                </pic:pic>
              </a:graphicData>
            </a:graphic>
          </wp:inline>
        </w:drawing>
      </w:r>
    </w:p>
    <w:p>
      <w:pPr>
        <w:pStyle w:val="12"/>
        <w:numPr>
          <w:numId w:val="0"/>
        </w:numPr>
        <w:spacing w:line="360" w:lineRule="auto"/>
        <w:ind w:leftChars="100"/>
        <w:contextualSpacing/>
        <w:jc w:val="left"/>
        <w:rPr>
          <w:rFonts w:hint="default" w:eastAsia="宋体"/>
          <w:lang w:val="en-US" w:eastAsia="zh-CN"/>
        </w:rPr>
      </w:pPr>
      <w:r>
        <w:rPr>
          <w:rFonts w:hint="eastAsia"/>
          <w:lang w:val="en-US" w:eastAsia="zh-CN"/>
        </w:rPr>
        <w:t xml:space="preserve">                                图7-3</w:t>
      </w:r>
    </w:p>
    <w:p>
      <w:pPr>
        <w:pStyle w:val="12"/>
        <w:numPr>
          <w:numId w:val="0"/>
        </w:numPr>
        <w:spacing w:line="360" w:lineRule="auto"/>
        <w:ind w:leftChars="100"/>
        <w:contextualSpacing/>
        <w:jc w:val="left"/>
        <w:rPr>
          <w:rFonts w:hint="eastAsia"/>
          <w:color w:val="FF0000"/>
          <w:sz w:val="28"/>
          <w:szCs w:val="28"/>
        </w:rPr>
      </w:pPr>
    </w:p>
    <w:p>
      <w:pPr>
        <w:pStyle w:val="12"/>
        <w:spacing w:line="360" w:lineRule="auto"/>
        <w:ind w:left="210" w:leftChars="100" w:firstLine="0" w:firstLineChars="0"/>
        <w:contextualSpacing/>
        <w:jc w:val="left"/>
        <w:rPr>
          <w:rFonts w:hint="eastAsia"/>
          <w:color w:val="FF0000"/>
          <w:sz w:val="28"/>
          <w:szCs w:val="28"/>
        </w:rPr>
      </w:pPr>
      <w:r>
        <w:rPr>
          <w:rFonts w:hint="eastAsia"/>
          <w:color w:val="FF0000"/>
          <w:sz w:val="28"/>
          <w:szCs w:val="28"/>
        </w:rPr>
        <w:t>3</w:t>
      </w:r>
      <w:r>
        <w:rPr>
          <w:color w:val="FF0000"/>
          <w:sz w:val="28"/>
          <w:szCs w:val="28"/>
        </w:rPr>
        <w:t>.</w:t>
      </w:r>
      <w:r>
        <w:rPr>
          <w:b/>
          <w:bCs/>
          <w:color w:val="FFFF00"/>
        </w:rPr>
        <w:t xml:space="preserve"> </w:t>
      </w:r>
      <w:r>
        <w:rPr>
          <w:color w:val="FF0000"/>
          <w:sz w:val="28"/>
          <w:szCs w:val="28"/>
        </w:rPr>
        <w:t>设置可配送医院</w:t>
      </w:r>
      <w:r>
        <w:rPr>
          <w:rFonts w:hint="eastAsia"/>
          <w:color w:val="FF0000"/>
          <w:sz w:val="28"/>
          <w:szCs w:val="28"/>
        </w:rPr>
        <w:t>，</w:t>
      </w:r>
      <w:r>
        <w:rPr>
          <w:color w:val="FF0000"/>
          <w:sz w:val="28"/>
          <w:szCs w:val="28"/>
        </w:rPr>
        <w:t>只能选择二级及以上医疗机构</w:t>
      </w:r>
      <w:r>
        <w:rPr>
          <w:rFonts w:hint="eastAsia"/>
          <w:color w:val="FF0000"/>
          <w:sz w:val="28"/>
          <w:szCs w:val="28"/>
        </w:rPr>
        <w:t>。</w:t>
      </w:r>
    </w:p>
    <w:p>
      <w:pPr>
        <w:pStyle w:val="12"/>
        <w:spacing w:line="360" w:lineRule="auto"/>
        <w:ind w:left="210" w:leftChars="100" w:firstLine="0" w:firstLineChars="0"/>
        <w:contextualSpacing/>
        <w:jc w:val="left"/>
        <w:rPr>
          <w:rFonts w:ascii="宋体" w:hAnsi="宋体" w:eastAsia="宋体" w:cs="宋体"/>
          <w:sz w:val="24"/>
          <w:szCs w:val="24"/>
        </w:rPr>
      </w:pPr>
      <w:r>
        <w:rPr>
          <w:rFonts w:ascii="宋体" w:hAnsi="宋体" w:eastAsia="宋体" w:cs="宋体"/>
          <w:sz w:val="24"/>
          <w:szCs w:val="24"/>
        </w:rPr>
        <w:drawing>
          <wp:inline distT="0" distB="0" distL="114300" distR="114300">
            <wp:extent cx="457200" cy="457200"/>
            <wp:effectExtent l="0" t="0" r="0" b="0"/>
            <wp:docPr id="3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IMG_256"/>
                    <pic:cNvPicPr>
                      <a:picLocks noChangeAspect="1"/>
                    </pic:cNvPicPr>
                  </pic:nvPicPr>
                  <pic:blipFill>
                    <a:blip r:embed="rId21"/>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IMG_256"/>
                    <pic:cNvPicPr>
                      <a:picLocks noChangeAspect="1"/>
                    </pic:cNvPicPr>
                  </pic:nvPicPr>
                  <pic:blipFill>
                    <a:blip r:embed="rId21"/>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IMG_256"/>
                    <pic:cNvPicPr>
                      <a:picLocks noChangeAspect="1"/>
                    </pic:cNvPicPr>
                  </pic:nvPicPr>
                  <pic:blipFill>
                    <a:blip r:embed="rId21"/>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IMG_256"/>
                    <pic:cNvPicPr>
                      <a:picLocks noChangeAspect="1"/>
                    </pic:cNvPicPr>
                  </pic:nvPicPr>
                  <pic:blipFill>
                    <a:blip r:embed="rId21"/>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56"/>
                    <pic:cNvPicPr>
                      <a:picLocks noChangeAspect="1"/>
                    </pic:cNvPicPr>
                  </pic:nvPicPr>
                  <pic:blipFill>
                    <a:blip r:embed="rId21"/>
                    <a:stretch>
                      <a:fillRect/>
                    </a:stretch>
                  </pic:blipFill>
                  <pic:spPr>
                    <a:xfrm>
                      <a:off x="0" y="0"/>
                      <a:ext cx="457200" cy="457200"/>
                    </a:xfrm>
                    <a:prstGeom prst="rect">
                      <a:avLst/>
                    </a:prstGeom>
                    <a:noFill/>
                    <a:ln w="9525">
                      <a:noFill/>
                    </a:ln>
                  </pic:spPr>
                </pic:pic>
              </a:graphicData>
            </a:graphic>
          </wp:inline>
        </w:drawing>
      </w:r>
    </w:p>
    <w:p>
      <w:pPr>
        <w:pStyle w:val="12"/>
        <w:spacing w:line="360" w:lineRule="auto"/>
        <w:ind w:left="210" w:leftChars="100" w:firstLine="0" w:firstLineChars="0"/>
        <w:contextualSpacing/>
        <w:jc w:val="left"/>
        <w:rPr>
          <w:rFonts w:hint="eastAsia"/>
          <w:color w:val="FF0000"/>
          <w:sz w:val="28"/>
          <w:szCs w:val="28"/>
          <w:lang w:val="en-US" w:eastAsia="zh-CN"/>
        </w:rPr>
      </w:pPr>
      <w:r>
        <w:rPr>
          <w:rFonts w:hint="eastAsia"/>
          <w:color w:val="FF0000"/>
          <w:sz w:val="28"/>
          <w:szCs w:val="28"/>
          <w:lang w:val="en-US" w:eastAsia="zh-CN"/>
        </w:rPr>
        <w:t>此处会遇到的问题以及处理方法：</w:t>
      </w:r>
    </w:p>
    <w:p>
      <w:pPr>
        <w:pStyle w:val="12"/>
        <w:numPr>
          <w:ilvl w:val="0"/>
          <w:numId w:val="4"/>
        </w:numPr>
        <w:spacing w:line="360" w:lineRule="auto"/>
        <w:ind w:left="210" w:leftChars="100" w:firstLine="0" w:firstLineChars="0"/>
        <w:contextualSpacing/>
        <w:jc w:val="left"/>
        <w:rPr>
          <w:rFonts w:hint="eastAsia"/>
          <w:color w:val="FF0000"/>
          <w:sz w:val="28"/>
          <w:szCs w:val="28"/>
          <w:lang w:val="en-US" w:eastAsia="zh-CN"/>
        </w:rPr>
      </w:pPr>
      <w:r>
        <w:rPr>
          <w:rFonts w:hint="eastAsia"/>
          <w:color w:val="FF0000"/>
          <w:sz w:val="28"/>
          <w:szCs w:val="28"/>
          <w:lang w:val="en-US" w:eastAsia="zh-CN"/>
        </w:rPr>
        <w:t>原【药品分类采购系统】的配送关系是全量迁移到此平台，所以存在原配送关系是针对基层医疗机构建立的配送关系，如果现在想要增加其他的基层医疗机构，点击图7-3所示，以区县为单位设置配送关系即可，配送企业确认则生效。</w:t>
      </w:r>
    </w:p>
    <w:p>
      <w:pPr>
        <w:pStyle w:val="12"/>
        <w:numPr>
          <w:ilvl w:val="0"/>
          <w:numId w:val="4"/>
        </w:numPr>
        <w:spacing w:line="360" w:lineRule="auto"/>
        <w:ind w:left="210" w:leftChars="100" w:firstLine="0" w:firstLineChars="0"/>
        <w:contextualSpacing/>
        <w:jc w:val="left"/>
        <w:rPr>
          <w:rFonts w:hint="default"/>
          <w:color w:val="FF0000"/>
          <w:sz w:val="28"/>
          <w:szCs w:val="28"/>
          <w:lang w:val="en-US" w:eastAsia="zh-CN"/>
        </w:rPr>
      </w:pPr>
      <w:r>
        <w:rPr>
          <w:rFonts w:hint="eastAsia"/>
          <w:color w:val="FF0000"/>
          <w:sz w:val="28"/>
          <w:szCs w:val="28"/>
          <w:lang w:val="en-US" w:eastAsia="zh-CN"/>
        </w:rPr>
        <w:t>极少数医疗机构存在多账号问题（目前正在通过医疗机构维护信息来处理此问题），所以存在针对医疗机构建立的配送关系时，建立配送关系的医院账号和医疗机构实际使用账号不一致的情况（极少数），出现类似的情况可采取按7-3所示按权限设置配送关系或者以医院设置配送的时候和医疗机构确认一下账号。</w:t>
      </w:r>
    </w:p>
    <w:p>
      <w:pPr>
        <w:pStyle w:val="12"/>
        <w:numPr>
          <w:ilvl w:val="0"/>
          <w:numId w:val="4"/>
        </w:numPr>
        <w:spacing w:line="360" w:lineRule="auto"/>
        <w:ind w:left="210" w:leftChars="100" w:firstLine="0" w:firstLineChars="0"/>
        <w:contextualSpacing/>
        <w:jc w:val="left"/>
        <w:rPr>
          <w:rFonts w:hint="default"/>
          <w:color w:val="FF0000"/>
          <w:sz w:val="28"/>
          <w:szCs w:val="28"/>
          <w:lang w:val="en-US" w:eastAsia="zh-CN"/>
        </w:rPr>
      </w:pPr>
      <w:r>
        <w:rPr>
          <w:rFonts w:hint="eastAsia"/>
          <w:color w:val="FF0000"/>
          <w:sz w:val="28"/>
          <w:szCs w:val="28"/>
          <w:lang w:val="en-US" w:eastAsia="zh-CN"/>
        </w:rPr>
        <w:t>配送关系生效，但是医院在常用采购目录中无法选择配送企业，此情况先到“湖北药械集中采购服务平台”中 点击【交易信息】，选择医疗机构目录，根据名称或者医院账号查看医院所在区域，并和生效配送关系的地区核对。</w:t>
      </w:r>
      <w:bookmarkStart w:id="0" w:name="_GoBack"/>
      <w:bookmarkEnd w:id="0"/>
    </w:p>
    <w:p>
      <w:pPr>
        <w:pStyle w:val="12"/>
        <w:numPr>
          <w:ilvl w:val="0"/>
          <w:numId w:val="2"/>
        </w:numPr>
        <w:spacing w:line="360" w:lineRule="auto"/>
        <w:ind w:left="210" w:leftChars="100" w:firstLineChars="0"/>
        <w:contextualSpacing/>
        <w:jc w:val="left"/>
        <w:rPr>
          <w:sz w:val="28"/>
          <w:szCs w:val="28"/>
        </w:rPr>
      </w:pPr>
      <w:r>
        <w:rPr>
          <w:rFonts w:hint="eastAsia"/>
          <w:sz w:val="28"/>
          <w:szCs w:val="28"/>
        </w:rPr>
        <w:t>按配送企业设置</w:t>
      </w:r>
    </w:p>
    <w:p>
      <w:pPr>
        <w:pStyle w:val="12"/>
        <w:spacing w:line="360" w:lineRule="auto"/>
        <w:ind w:left="210" w:leftChars="100" w:firstLine="0" w:firstLineChars="0"/>
        <w:contextualSpacing/>
        <w:jc w:val="left"/>
        <w:rPr>
          <w:sz w:val="28"/>
          <w:szCs w:val="28"/>
        </w:rPr>
      </w:pPr>
      <w:r>
        <w:rPr>
          <w:rFonts w:hint="eastAsia"/>
          <w:sz w:val="28"/>
          <w:szCs w:val="28"/>
        </w:rPr>
        <w:t>选择【按配送企业设置】点击进入，显示的配送企业列表中，点击操作按钮，弹出设置配送药品页面，首先在左边菜单里，选中药品，在右边呈现的区域列表前的勾选框中对应打勾即可快捷设置配送关系。 如图</w:t>
      </w:r>
      <w:r>
        <w:rPr>
          <w:sz w:val="28"/>
          <w:szCs w:val="28"/>
        </w:rPr>
        <w:t>（7</w:t>
      </w:r>
      <w:r>
        <w:rPr>
          <w:rFonts w:hint="eastAsia"/>
          <w:sz w:val="28"/>
          <w:szCs w:val="28"/>
        </w:rPr>
        <w:t>-2）所示；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53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653030"/>
                    </a:xfrm>
                    <a:prstGeom prst="rect">
                      <a:avLst/>
                    </a:prstGeom>
                  </pic:spPr>
                </pic:pic>
              </a:graphicData>
            </a:graphic>
          </wp:inline>
        </w:drawing>
      </w:r>
    </w:p>
    <w:p>
      <w:pPr>
        <w:pStyle w:val="12"/>
        <w:spacing w:line="360" w:lineRule="auto"/>
        <w:ind w:left="210" w:leftChars="100" w:firstLine="0" w:firstLineChars="0"/>
        <w:contextualSpacing/>
        <w:jc w:val="left"/>
        <w:rPr>
          <w:sz w:val="28"/>
          <w:szCs w:val="28"/>
        </w:rPr>
      </w:pPr>
      <w:r>
        <w:rPr>
          <w:sz w:val="28"/>
          <w:szCs w:val="28"/>
        </w:rPr>
        <w:drawing>
          <wp:inline distT="0" distB="0" distL="0" distR="0">
            <wp:extent cx="5274310" cy="2629535"/>
            <wp:effectExtent l="0" t="0" r="2540" b="0"/>
            <wp:docPr id="18" name="图片 18" descr="C:\Users\ELIAN-~1\AppData\Local\Temp\1620374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ELIAN-~1\AppData\Local\Temp\162037494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2629542"/>
                    </a:xfrm>
                    <a:prstGeom prst="rect">
                      <a:avLst/>
                    </a:prstGeom>
                    <a:noFill/>
                    <a:ln>
                      <a:noFill/>
                    </a:ln>
                  </pic:spPr>
                </pic:pic>
              </a:graphicData>
            </a:graphic>
          </wp:inline>
        </w:drawing>
      </w:r>
    </w:p>
    <w:p>
      <w:pPr>
        <w:pStyle w:val="12"/>
        <w:spacing w:line="360" w:lineRule="auto"/>
        <w:ind w:left="210" w:leftChars="100" w:firstLine="0" w:firstLineChars="0"/>
        <w:contextualSpacing/>
        <w:jc w:val="center"/>
        <w:rPr>
          <w:sz w:val="28"/>
          <w:szCs w:val="28"/>
        </w:rPr>
      </w:pPr>
      <w:r>
        <w:rPr>
          <w:sz w:val="28"/>
          <w:szCs w:val="28"/>
        </w:rPr>
        <w:t>图</w:t>
      </w:r>
      <w:r>
        <w:rPr>
          <w:rFonts w:hint="eastAsia"/>
          <w:sz w:val="28"/>
          <w:szCs w:val="28"/>
        </w:rPr>
        <w:t>（</w:t>
      </w:r>
      <w:r>
        <w:rPr>
          <w:sz w:val="28"/>
          <w:szCs w:val="28"/>
        </w:rPr>
        <w:t>7</w:t>
      </w:r>
      <w:r>
        <w:rPr>
          <w:rFonts w:hint="eastAsia"/>
          <w:sz w:val="28"/>
          <w:szCs w:val="28"/>
        </w:rPr>
        <w:t>-2）</w:t>
      </w:r>
    </w:p>
    <w:p>
      <w:pPr>
        <w:pStyle w:val="12"/>
        <w:spacing w:line="360" w:lineRule="auto"/>
        <w:ind w:left="210" w:leftChars="100" w:firstLine="0" w:firstLineChars="0"/>
        <w:contextualSpacing/>
        <w:jc w:val="left"/>
        <w:rPr>
          <w:color w:val="FF0000"/>
          <w:sz w:val="28"/>
          <w:szCs w:val="28"/>
        </w:rPr>
      </w:pPr>
      <w:r>
        <w:rPr>
          <w:color w:val="FF0000"/>
          <w:sz w:val="28"/>
          <w:szCs w:val="28"/>
        </w:rPr>
        <w:t>注</w:t>
      </w:r>
      <w:r>
        <w:rPr>
          <w:rFonts w:hint="eastAsia"/>
          <w:color w:val="FF0000"/>
          <w:sz w:val="28"/>
          <w:szCs w:val="28"/>
        </w:rPr>
        <w:t>：</w:t>
      </w:r>
      <w:r>
        <w:rPr>
          <w:color w:val="FF0000"/>
          <w:sz w:val="28"/>
          <w:szCs w:val="28"/>
        </w:rPr>
        <w:t>上图所示页面也可授权配送企业议价</w:t>
      </w:r>
      <w:r>
        <w:rPr>
          <w:rFonts w:hint="eastAsia"/>
          <w:color w:val="FF0000"/>
          <w:sz w:val="28"/>
          <w:szCs w:val="28"/>
        </w:rPr>
        <w:t>。</w:t>
      </w:r>
    </w:p>
    <w:p>
      <w:pPr>
        <w:pStyle w:val="12"/>
        <w:spacing w:line="360" w:lineRule="auto"/>
        <w:ind w:left="210" w:leftChars="100" w:firstLine="0" w:firstLineChars="0"/>
        <w:contextualSpacing/>
        <w:jc w:val="left"/>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rFonts w:hint="eastAsia"/>
          <w:b/>
          <w:sz w:val="28"/>
          <w:szCs w:val="28"/>
        </w:rPr>
        <w:t>配送关系管理</w:t>
      </w:r>
      <w:r>
        <w:rPr>
          <w:b/>
          <w:sz w:val="28"/>
          <w:szCs w:val="28"/>
        </w:rPr>
        <w:t>】</w:t>
      </w:r>
      <w:r>
        <w:rPr>
          <w:rFonts w:hint="eastAsia"/>
          <w:sz w:val="28"/>
          <w:szCs w:val="28"/>
        </w:rPr>
        <w:t>进入配送关系管理页面，按区域勾选申请解除配送或点击配送解除按钮弹出该区域具体到医院的配送关系列表，勾选医院点击申请即可。</w:t>
      </w:r>
      <w:r>
        <w:rPr>
          <w:sz w:val="28"/>
          <w:szCs w:val="28"/>
        </w:rPr>
        <w:t>如图</w:t>
      </w:r>
      <w:r>
        <w:rPr>
          <w:rFonts w:hint="eastAsia"/>
          <w:sz w:val="28"/>
          <w:szCs w:val="28"/>
        </w:rPr>
        <w:t>（</w:t>
      </w:r>
      <w:r>
        <w:rPr>
          <w:sz w:val="28"/>
          <w:szCs w:val="28"/>
        </w:rPr>
        <w:t>8</w:t>
      </w:r>
      <w:r>
        <w:rPr>
          <w:rFonts w:hint="eastAsia"/>
          <w:sz w:val="28"/>
          <w:szCs w:val="28"/>
        </w:rPr>
        <w:t>）</w:t>
      </w:r>
      <w:r>
        <w:rPr>
          <w:sz w:val="28"/>
          <w:szCs w:val="28"/>
        </w:rPr>
        <w:t>所示</w:t>
      </w:r>
      <w:r>
        <w:rPr>
          <w:rFonts w:hint="eastAsia"/>
          <w:sz w:val="28"/>
          <w:szCs w:val="28"/>
        </w:rPr>
        <w:t>；</w:t>
      </w:r>
    </w:p>
    <w:p>
      <w:pPr>
        <w:spacing w:line="360" w:lineRule="auto"/>
        <w:ind w:left="210" w:leftChars="100"/>
        <w:contextualSpacing/>
        <w:jc w:val="center"/>
        <w:rPr>
          <w:sz w:val="28"/>
          <w:szCs w:val="28"/>
        </w:rPr>
      </w:pPr>
      <w:r>
        <w:rPr>
          <w:sz w:val="28"/>
          <w:szCs w:val="28"/>
        </w:rPr>
        <w:drawing>
          <wp:inline distT="0" distB="0" distL="0" distR="0">
            <wp:extent cx="5274310" cy="2619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pPr>
        <w:spacing w:line="360" w:lineRule="auto"/>
        <w:ind w:left="210" w:leftChars="100"/>
        <w:contextualSpacing/>
        <w:jc w:val="center"/>
        <w:rPr>
          <w:sz w:val="28"/>
          <w:szCs w:val="28"/>
        </w:rPr>
      </w:pPr>
      <w:r>
        <w:rPr>
          <w:sz w:val="28"/>
          <w:szCs w:val="28"/>
        </w:rPr>
        <w:drawing>
          <wp:inline distT="0" distB="0" distL="0" distR="0">
            <wp:extent cx="5274310" cy="26022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pPr>
        <w:spacing w:line="360" w:lineRule="auto"/>
        <w:ind w:left="210" w:leftChars="100"/>
        <w:contextualSpacing/>
        <w:jc w:val="center"/>
        <w:rPr>
          <w:sz w:val="28"/>
          <w:szCs w:val="28"/>
        </w:rPr>
      </w:pPr>
      <w:r>
        <w:rPr>
          <w:sz w:val="28"/>
          <w:szCs w:val="28"/>
        </w:rPr>
        <w:t>图</w:t>
      </w:r>
      <w:r>
        <w:rPr>
          <w:rFonts w:hint="eastAsia"/>
          <w:sz w:val="28"/>
          <w:szCs w:val="28"/>
        </w:rPr>
        <w:t>（</w:t>
      </w:r>
      <w:r>
        <w:rPr>
          <w:sz w:val="28"/>
          <w:szCs w:val="28"/>
        </w:rPr>
        <w:t>8</w:t>
      </w:r>
      <w:r>
        <w:rPr>
          <w:rFonts w:hint="eastAsia"/>
          <w:sz w:val="28"/>
          <w:szCs w:val="28"/>
        </w:rPr>
        <w:t>）</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申请解除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选择一条或多条已确认且生效中的配送关系，点击申请解除，系统即时判断，</w:t>
      </w:r>
      <w:r>
        <w:rPr>
          <w:sz w:val="28"/>
          <w:szCs w:val="28"/>
        </w:rPr>
        <w:t>已经成功申请解除的配送关系</w:t>
      </w:r>
      <w:r>
        <w:rPr>
          <w:rFonts w:hint="eastAsia"/>
          <w:sz w:val="28"/>
          <w:szCs w:val="28"/>
        </w:rPr>
        <w:t>，</w:t>
      </w:r>
      <w:r>
        <w:rPr>
          <w:sz w:val="28"/>
          <w:szCs w:val="28"/>
        </w:rPr>
        <w:t>需等待</w:t>
      </w:r>
      <w:r>
        <w:rPr>
          <w:rFonts w:hint="eastAsia"/>
          <w:sz w:val="28"/>
          <w:szCs w:val="28"/>
        </w:rPr>
        <w:t>配送</w:t>
      </w:r>
      <w:r>
        <w:rPr>
          <w:sz w:val="28"/>
          <w:szCs w:val="28"/>
        </w:rPr>
        <w:t>企业确认</w:t>
      </w:r>
      <w:r>
        <w:rPr>
          <w:rFonts w:hint="eastAsia"/>
          <w:sz w:val="28"/>
          <w:szCs w:val="28"/>
        </w:rPr>
        <w:t>，</w:t>
      </w:r>
      <w:r>
        <w:rPr>
          <w:sz w:val="28"/>
          <w:szCs w:val="28"/>
        </w:rPr>
        <w:t>确认后配送关系正式解除</w:t>
      </w:r>
      <w:r>
        <w:rPr>
          <w:rFonts w:hint="eastAsia"/>
          <w:sz w:val="28"/>
          <w:szCs w:val="28"/>
        </w:rPr>
        <w:t>。</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接受</w:t>
      </w:r>
      <w:r>
        <w:rPr>
          <w:sz w:val="28"/>
          <w:szCs w:val="28"/>
        </w:rPr>
        <w:t>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选择一条或多条申请解除的配送关系，点击接受解除，系统即时判断，本企业发起的申请解除不可接受，接受解除成功后，配送关系状态更新为已解除。本企业可在设置配送关系中删除已解除的配送关系。</w:t>
      </w:r>
    </w:p>
    <w:p>
      <w:pPr>
        <w:pStyle w:val="12"/>
        <w:numPr>
          <w:ilvl w:val="0"/>
          <w:numId w:val="2"/>
        </w:numPr>
        <w:spacing w:line="360" w:lineRule="auto"/>
        <w:ind w:left="210" w:leftChars="100" w:firstLineChars="0"/>
        <w:contextualSpacing/>
        <w:jc w:val="left"/>
        <w:rPr>
          <w:sz w:val="28"/>
          <w:szCs w:val="28"/>
        </w:rPr>
      </w:pPr>
      <w:r>
        <w:rPr>
          <w:rFonts w:hint="eastAsia"/>
          <w:sz w:val="28"/>
          <w:szCs w:val="28"/>
        </w:rPr>
        <w:t>拒绝解除</w:t>
      </w:r>
    </w:p>
    <w:p>
      <w:pPr>
        <w:pStyle w:val="12"/>
        <w:spacing w:line="360" w:lineRule="auto"/>
        <w:ind w:left="210" w:leftChars="100" w:firstLine="0" w:firstLineChars="0"/>
        <w:contextualSpacing/>
        <w:jc w:val="left"/>
        <w:rPr>
          <w:sz w:val="28"/>
          <w:szCs w:val="28"/>
        </w:rPr>
      </w:pPr>
      <w:r>
        <w:rPr>
          <w:rFonts w:hint="eastAsia"/>
          <w:sz w:val="28"/>
          <w:szCs w:val="28"/>
        </w:rPr>
        <w:t>选择一条或多条申请解除的配送关系，点击拒绝解除，系统即时判断，本企业发起的申请解除不可拒绝，拒绝解除成功后，配送关系状态更新为拒绝解除，配送关系继续维持。</w:t>
      </w:r>
    </w:p>
    <w:p>
      <w:pPr>
        <w:pStyle w:val="12"/>
        <w:spacing w:line="360" w:lineRule="auto"/>
        <w:ind w:left="210" w:leftChars="100" w:firstLine="0" w:firstLineChars="0"/>
        <w:contextualSpacing/>
        <w:jc w:val="left"/>
        <w:rPr>
          <w:color w:val="FF0000"/>
          <w:sz w:val="28"/>
          <w:szCs w:val="28"/>
        </w:rPr>
      </w:pPr>
      <w:r>
        <w:rPr>
          <w:rFonts w:hint="eastAsia"/>
          <w:color w:val="FF0000"/>
          <w:sz w:val="28"/>
          <w:szCs w:val="28"/>
        </w:rPr>
        <w:t>（如药品全省覆盖开关已开启，则申请解除的配送关系如果是该药品在该区域中的唯一一条生效的配送关系，将无法解除！）</w:t>
      </w:r>
    </w:p>
    <w:p>
      <w:pPr>
        <w:pStyle w:val="12"/>
        <w:spacing w:line="360" w:lineRule="auto"/>
        <w:ind w:left="210" w:leftChars="100" w:firstLine="0" w:firstLineChars="0"/>
        <w:contextualSpacing/>
        <w:jc w:val="left"/>
        <w:rPr>
          <w:sz w:val="28"/>
          <w:szCs w:val="28"/>
        </w:rPr>
      </w:pPr>
    </w:p>
    <w:p>
      <w:pPr>
        <w:pStyle w:val="4"/>
      </w:pPr>
      <w:r>
        <w:rPr>
          <w:rFonts w:hint="eastAsia"/>
        </w:rPr>
        <w:t>3.3议价管理</w:t>
      </w:r>
    </w:p>
    <w:p>
      <w:pPr>
        <w:pStyle w:val="12"/>
        <w:numPr>
          <w:ilvl w:val="1"/>
          <w:numId w:val="5"/>
        </w:numPr>
        <w:ind w:firstLineChars="0"/>
        <w:jc w:val="left"/>
        <w:rPr>
          <w:sz w:val="28"/>
          <w:szCs w:val="28"/>
        </w:rPr>
      </w:pPr>
      <w:r>
        <w:rPr>
          <w:rFonts w:hint="eastAsia"/>
          <w:sz w:val="28"/>
          <w:szCs w:val="28"/>
        </w:rPr>
        <w:t>系统功能说明</w:t>
      </w:r>
    </w:p>
    <w:p>
      <w:pPr>
        <w:pStyle w:val="12"/>
        <w:ind w:left="210" w:leftChars="100" w:firstLine="0" w:firstLineChars="0"/>
        <w:jc w:val="left"/>
        <w:rPr>
          <w:sz w:val="28"/>
          <w:szCs w:val="28"/>
        </w:rPr>
      </w:pPr>
      <w:r>
        <w:rPr>
          <w:rFonts w:hint="eastAsia"/>
          <w:sz w:val="28"/>
          <w:szCs w:val="28"/>
        </w:rPr>
        <w:t>议价管理主要是处理医疗机构发起的议价申请以及查看议价单。</w:t>
      </w:r>
    </w:p>
    <w:p>
      <w:pPr>
        <w:pStyle w:val="12"/>
        <w:numPr>
          <w:ilvl w:val="1"/>
          <w:numId w:val="6"/>
        </w:numPr>
        <w:ind w:firstLineChars="0"/>
        <w:jc w:val="left"/>
        <w:rPr>
          <w:sz w:val="28"/>
          <w:szCs w:val="28"/>
        </w:rPr>
      </w:pPr>
      <w:r>
        <w:rPr>
          <w:rFonts w:hint="eastAsia"/>
          <w:sz w:val="28"/>
          <w:szCs w:val="28"/>
        </w:rPr>
        <w:t>系统操作说明</w:t>
      </w:r>
    </w:p>
    <w:p>
      <w:pPr>
        <w:pStyle w:val="12"/>
        <w:numPr>
          <w:ilvl w:val="0"/>
          <w:numId w:val="2"/>
        </w:numPr>
        <w:ind w:left="210" w:leftChars="100" w:firstLineChars="0"/>
        <w:jc w:val="left"/>
        <w:rPr>
          <w:sz w:val="28"/>
          <w:szCs w:val="28"/>
        </w:rPr>
      </w:pPr>
      <w:r>
        <w:rPr>
          <w:rFonts w:hint="eastAsia"/>
          <w:sz w:val="28"/>
          <w:szCs w:val="28"/>
        </w:rPr>
        <w:t>议价单列表</w:t>
      </w:r>
    </w:p>
    <w:p>
      <w:r>
        <w:rPr>
          <w:rFonts w:hint="eastAsia"/>
          <w:sz w:val="28"/>
          <w:szCs w:val="28"/>
        </w:rPr>
        <w:t>点击左侧菜单【</w:t>
      </w:r>
      <w:r>
        <w:rPr>
          <w:rFonts w:hint="eastAsia"/>
          <w:b/>
          <w:bCs/>
          <w:sz w:val="28"/>
          <w:szCs w:val="28"/>
        </w:rPr>
        <w:t>议价管理-议价单列表</w:t>
      </w:r>
      <w:r>
        <w:rPr>
          <w:rFonts w:hint="eastAsia"/>
          <w:sz w:val="28"/>
          <w:szCs w:val="28"/>
        </w:rPr>
        <w:t>】进入议价单列表查看页面</w:t>
      </w:r>
    </w:p>
    <w:p>
      <w:r>
        <w:drawing>
          <wp:inline distT="0" distB="0" distL="0" distR="0">
            <wp:extent cx="5274310" cy="26117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611755"/>
                    </a:xfrm>
                    <a:prstGeom prst="rect">
                      <a:avLst/>
                    </a:prstGeom>
                  </pic:spPr>
                </pic:pic>
              </a:graphicData>
            </a:graphic>
          </wp:inline>
        </w:drawing>
      </w:r>
    </w:p>
    <w:p>
      <w:pPr>
        <w:ind w:firstLine="3570" w:firstLineChars="1700"/>
      </w:pPr>
      <w:r>
        <w:t>图</w:t>
      </w:r>
      <w:r>
        <w:rPr>
          <w:rFonts w:hint="eastAsia"/>
        </w:rPr>
        <w:t>（</w:t>
      </w:r>
      <w:r>
        <w:t>9</w:t>
      </w:r>
      <w:r>
        <w:rPr>
          <w:rFonts w:hint="eastAsia"/>
        </w:rPr>
        <w:t>）</w:t>
      </w:r>
    </w:p>
    <w:p>
      <w:pPr>
        <w:rPr>
          <w:color w:val="0000FF"/>
        </w:rPr>
      </w:pPr>
      <w:r>
        <w:rPr>
          <w:rFonts w:hint="eastAsia"/>
          <w:color w:val="0000FF"/>
        </w:rPr>
        <w:t>1</w:t>
      </w:r>
      <w:r>
        <w:rPr>
          <w:color w:val="0000FF"/>
        </w:rPr>
        <w:t>.</w:t>
      </w:r>
      <w:r>
        <w:rPr>
          <w:rFonts w:hint="eastAsia"/>
          <w:color w:val="0000FF"/>
        </w:rPr>
        <w:t>点击待处理议价单栏，可看到医疗机构提交的议价单。</w:t>
      </w:r>
    </w:p>
    <w:p>
      <w:pPr>
        <w:rPr>
          <w:color w:val="0000FF"/>
        </w:rPr>
      </w:pPr>
      <w:r>
        <w:rPr>
          <w:rFonts w:hint="eastAsia"/>
          <w:color w:val="0000FF"/>
        </w:rPr>
        <w:t>你可在图（</w:t>
      </w:r>
      <w:r>
        <w:rPr>
          <w:color w:val="0000FF"/>
        </w:rPr>
        <w:t>9</w:t>
      </w:r>
      <w:r>
        <w:rPr>
          <w:rFonts w:hint="eastAsia"/>
          <w:color w:val="0000FF"/>
        </w:rPr>
        <w:t>）操作一栏点击企业还价按钮，出现如图（</w:t>
      </w:r>
      <w:r>
        <w:rPr>
          <w:color w:val="0000FF"/>
        </w:rPr>
        <w:t>10</w:t>
      </w:r>
      <w:r>
        <w:rPr>
          <w:rFonts w:hint="eastAsia"/>
          <w:color w:val="0000FF"/>
        </w:rPr>
        <w:t>）所示页面。在议定价格一栏输入你想还价的价格，随之点击还价按钮，即可完成还价，直至一方同意妥协</w:t>
      </w:r>
    </w:p>
    <w:p>
      <w:pPr>
        <w:rPr>
          <w:color w:val="0000FF"/>
        </w:rPr>
      </w:pPr>
      <w:r>
        <w:rPr>
          <w:color w:val="0000FF"/>
        </w:rPr>
        <w:t>也可直接在图</w:t>
      </w:r>
      <w:r>
        <w:rPr>
          <w:rFonts w:hint="eastAsia"/>
          <w:color w:val="0000FF"/>
        </w:rPr>
        <w:t>（</w:t>
      </w:r>
      <w:r>
        <w:rPr>
          <w:color w:val="0000FF"/>
        </w:rPr>
        <w:t>9</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r>
        <w:rPr>
          <w:rFonts w:hint="eastAsia"/>
        </w:rPr>
        <w:drawing>
          <wp:inline distT="0" distB="0" distL="0" distR="0">
            <wp:extent cx="5274310" cy="261556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ind w:firstLine="3990" w:firstLineChars="1900"/>
      </w:pPr>
      <w:r>
        <w:t>图</w:t>
      </w:r>
      <w:r>
        <w:rPr>
          <w:rFonts w:hint="eastAsia"/>
        </w:rPr>
        <w:t>（</w:t>
      </w:r>
      <w:r>
        <w:t>10</w:t>
      </w:r>
      <w:r>
        <w:rPr>
          <w:rFonts w:hint="eastAsia"/>
        </w:rPr>
        <w:t>）</w:t>
      </w:r>
    </w:p>
    <w:p>
      <w:pPr>
        <w:rPr>
          <w:color w:val="0000FF"/>
        </w:rPr>
      </w:pPr>
      <w:r>
        <w:rPr>
          <w:rFonts w:hint="eastAsia"/>
          <w:color w:val="0000FF"/>
        </w:rPr>
        <w:t>2</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11</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11</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rPr>
          <w:color w:val="0000FF"/>
        </w:rPr>
      </w:pPr>
      <w:r>
        <w:rPr>
          <w:rFonts w:hint="eastAsia"/>
          <w:color w:val="0000FF"/>
        </w:rPr>
        <w:drawing>
          <wp:inline distT="0" distB="0" distL="0" distR="0">
            <wp:extent cx="5274310" cy="26276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27630"/>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w:t>
      </w:r>
      <w:r>
        <w:rPr>
          <w:color w:val="0000FF"/>
        </w:rPr>
        <w:t>11</w:t>
      </w:r>
      <w:r>
        <w:rPr>
          <w:rFonts w:hint="eastAsia"/>
          <w:color w:val="0000FF"/>
        </w:rPr>
        <w:t>）</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12</w:t>
      </w:r>
      <w:r>
        <w:rPr>
          <w:rFonts w:hint="eastAsia"/>
          <w:color w:val="0000FF"/>
        </w:rPr>
        <w:t>）</w:t>
      </w:r>
      <w:r>
        <w:rPr>
          <w:color w:val="0000FF"/>
        </w:rPr>
        <w:t>所示</w:t>
      </w:r>
    </w:p>
    <w:p>
      <w:r>
        <w:rPr>
          <w:rFonts w:hint="eastAsia"/>
        </w:rPr>
        <w:drawing>
          <wp:inline distT="0" distB="0" distL="0" distR="0">
            <wp:extent cx="5274310" cy="261366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pPr>
        <w:ind w:firstLine="3780" w:firstLineChars="1800"/>
      </w:pPr>
      <w:r>
        <w:t>图</w:t>
      </w:r>
      <w:r>
        <w:rPr>
          <w:rFonts w:hint="eastAsia"/>
        </w:rPr>
        <w:t>（</w:t>
      </w:r>
      <w:r>
        <w:t>12</w:t>
      </w:r>
      <w:r>
        <w:rPr>
          <w:rFonts w:hint="eastAsia"/>
        </w:rPr>
        <w:t>）</w:t>
      </w:r>
    </w:p>
    <w:p>
      <w:pPr>
        <w:pStyle w:val="12"/>
        <w:numPr>
          <w:ilvl w:val="0"/>
          <w:numId w:val="2"/>
        </w:numPr>
        <w:ind w:left="210" w:leftChars="100" w:firstLineChars="0"/>
        <w:jc w:val="left"/>
        <w:rPr>
          <w:sz w:val="28"/>
          <w:szCs w:val="28"/>
        </w:rPr>
      </w:pPr>
      <w:r>
        <w:rPr>
          <w:rFonts w:hint="eastAsia"/>
          <w:sz w:val="28"/>
          <w:szCs w:val="28"/>
        </w:rPr>
        <w:t>议价药价格管理</w:t>
      </w:r>
    </w:p>
    <w:p>
      <w:r>
        <w:rPr>
          <w:rFonts w:hint="eastAsia"/>
          <w:sz w:val="28"/>
          <w:szCs w:val="28"/>
        </w:rPr>
        <w:t>点击左侧菜单【</w:t>
      </w:r>
      <w:r>
        <w:rPr>
          <w:rFonts w:hint="eastAsia"/>
          <w:b/>
          <w:bCs/>
          <w:sz w:val="28"/>
          <w:szCs w:val="28"/>
        </w:rPr>
        <w:t>议价管理-议价药价格管理</w:t>
      </w:r>
      <w:r>
        <w:rPr>
          <w:rFonts w:hint="eastAsia"/>
          <w:sz w:val="28"/>
          <w:szCs w:val="28"/>
        </w:rPr>
        <w:t>】进入议价药价格管理列表查看页面，如图（</w:t>
      </w:r>
      <w:r>
        <w:rPr>
          <w:sz w:val="28"/>
          <w:szCs w:val="28"/>
        </w:rPr>
        <w:t>13</w:t>
      </w:r>
      <w:r>
        <w:rPr>
          <w:rFonts w:hint="eastAsia"/>
          <w:sz w:val="28"/>
          <w:szCs w:val="28"/>
        </w:rPr>
        <w:t>）所示</w:t>
      </w:r>
    </w:p>
    <w:p>
      <w:r>
        <w:drawing>
          <wp:inline distT="0" distB="0" distL="0" distR="0">
            <wp:extent cx="5274310" cy="26174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617470"/>
                    </a:xfrm>
                    <a:prstGeom prst="rect">
                      <a:avLst/>
                    </a:prstGeom>
                  </pic:spPr>
                </pic:pic>
              </a:graphicData>
            </a:graphic>
          </wp:inline>
        </w:drawing>
      </w:r>
    </w:p>
    <w:p>
      <w:pPr>
        <w:ind w:firstLine="3780" w:firstLineChars="1800"/>
      </w:pPr>
      <w:r>
        <w:rPr>
          <w:rFonts w:hint="eastAsia"/>
        </w:rPr>
        <w:t>图（1</w:t>
      </w:r>
      <w:r>
        <w:t>3</w:t>
      </w:r>
      <w:r>
        <w:rPr>
          <w:rFonts w:hint="eastAsia"/>
        </w:rPr>
        <w:t>）</w:t>
      </w:r>
    </w:p>
    <w:p>
      <w:r>
        <w:t>在图</w:t>
      </w:r>
      <w:r>
        <w:rPr>
          <w:rFonts w:hint="eastAsia"/>
        </w:rPr>
        <w:t>（</w:t>
      </w:r>
      <w:r>
        <w:t>13</w:t>
      </w:r>
      <w:r>
        <w:rPr>
          <w:rFonts w:hint="eastAsia"/>
        </w:rPr>
        <w:t>）的参考价一列生产企业可输入自己的意向价，输入确认无误后，点击图（1</w:t>
      </w:r>
      <w:r>
        <w:t>3</w:t>
      </w:r>
      <w:r>
        <w:rPr>
          <w:rFonts w:hint="eastAsia"/>
        </w:rPr>
        <w:t>）的保存按钮即可。</w:t>
      </w:r>
    </w:p>
    <w:p>
      <w:pPr>
        <w:rPr>
          <w:color w:val="FF0000"/>
        </w:rPr>
      </w:pPr>
      <w:r>
        <w:rPr>
          <w:color w:val="FF0000"/>
        </w:rPr>
        <w:t>说明</w:t>
      </w:r>
      <w:r>
        <w:rPr>
          <w:rFonts w:hint="eastAsia"/>
          <w:color w:val="FF0000"/>
        </w:rPr>
        <w:t>：</w:t>
      </w:r>
      <w:r>
        <w:rPr>
          <w:color w:val="FF0000"/>
        </w:rPr>
        <w:t>1.企业设置的参考价不能高于挂网价</w:t>
      </w:r>
      <w:r>
        <w:rPr>
          <w:rFonts w:hint="eastAsia"/>
          <w:color w:val="FF0000"/>
        </w:rPr>
        <w:t>（无挂网价除外）。</w:t>
      </w:r>
    </w:p>
    <w:p>
      <w:pPr>
        <w:ind w:firstLine="630" w:firstLineChars="300"/>
        <w:rPr>
          <w:color w:val="FF0000"/>
        </w:rPr>
      </w:pPr>
      <w:r>
        <w:rPr>
          <w:color w:val="FF0000"/>
        </w:rPr>
        <w:t>2.若医疗机构议价录入时输入的议定价格高于或等于企业设置的参考价</w:t>
      </w:r>
      <w:r>
        <w:rPr>
          <w:rFonts w:hint="eastAsia"/>
          <w:color w:val="FF0000"/>
        </w:rPr>
        <w:t>，</w:t>
      </w:r>
      <w:r>
        <w:rPr>
          <w:color w:val="FF0000"/>
        </w:rPr>
        <w:t>则议价单直接生效</w:t>
      </w:r>
      <w:r>
        <w:rPr>
          <w:rFonts w:hint="eastAsia"/>
          <w:color w:val="FF0000"/>
        </w:rPr>
        <w:t>，</w:t>
      </w:r>
      <w:r>
        <w:rPr>
          <w:color w:val="FF0000"/>
        </w:rPr>
        <w:t>否则需要</w:t>
      </w:r>
      <w:r>
        <w:rPr>
          <w:rFonts w:hint="eastAsia"/>
          <w:color w:val="FF0000"/>
        </w:rPr>
        <w:t>医疗机构和企业双方进行还价，直至一方同意。</w:t>
      </w:r>
    </w:p>
    <w:p>
      <w:pPr>
        <w:rPr>
          <w:color w:val="FF0000"/>
        </w:rPr>
      </w:pPr>
      <w:r>
        <w:rPr>
          <w:rFonts w:hint="eastAsia"/>
          <w:color w:val="FF0000"/>
        </w:rPr>
        <w:t xml:space="preserve"> </w:t>
      </w:r>
      <w:r>
        <w:rPr>
          <w:color w:val="FF0000"/>
        </w:rPr>
        <w:t xml:space="preserve">    </w:t>
      </w:r>
    </w:p>
    <w:p>
      <w:pPr>
        <w:pStyle w:val="4"/>
      </w:pPr>
      <w:r>
        <w:rPr>
          <w:rFonts w:hint="eastAsia"/>
        </w:rPr>
        <w:t>3.4合同管理</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功能主要</w:t>
      </w:r>
      <w:r>
        <w:rPr>
          <w:rFonts w:hint="eastAsia"/>
          <w:sz w:val="28"/>
          <w:szCs w:val="28"/>
        </w:rPr>
        <w:t>提供企业查询本企业相关的合同记录。</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2"/>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查看合同</w:t>
      </w:r>
      <w:r>
        <w:rPr>
          <w:b/>
          <w:sz w:val="28"/>
          <w:szCs w:val="28"/>
        </w:rPr>
        <w:t>】</w:t>
      </w:r>
      <w:r>
        <w:rPr>
          <w:rFonts w:hint="eastAsia"/>
          <w:sz w:val="28"/>
          <w:szCs w:val="28"/>
        </w:rPr>
        <w:t>进入查看合同功能页面，该列表将展示所有本企业相关的合同信息</w:t>
      </w:r>
      <w:r>
        <w:rPr>
          <w:sz w:val="28"/>
          <w:szCs w:val="28"/>
        </w:rPr>
        <w:t>。如</w:t>
      </w:r>
      <w:r>
        <w:rPr>
          <w:rFonts w:hint="eastAsia"/>
          <w:sz w:val="28"/>
          <w:szCs w:val="28"/>
        </w:rPr>
        <w:t>图</w:t>
      </w:r>
      <w:r>
        <w:rPr>
          <w:sz w:val="28"/>
          <w:szCs w:val="28"/>
        </w:rPr>
        <w:t>所示：</w:t>
      </w:r>
      <w:r>
        <w:rPr>
          <w:rFonts w:hint="eastAsia"/>
          <w:sz w:val="28"/>
          <w:szCs w:val="28"/>
        </w:rPr>
        <w:t>。</w:t>
      </w:r>
    </w:p>
    <w:p>
      <w:pPr>
        <w:spacing w:line="360" w:lineRule="auto"/>
        <w:ind w:left="210" w:leftChars="100"/>
        <w:contextualSpacing/>
        <w:jc w:val="center"/>
        <w:rPr>
          <w:bCs/>
          <w:sz w:val="28"/>
          <w:szCs w:val="28"/>
        </w:rPr>
      </w:pPr>
      <w:r>
        <w:rPr>
          <w:bCs/>
          <w:sz w:val="28"/>
          <w:szCs w:val="28"/>
        </w:rPr>
        <w:drawing>
          <wp:inline distT="0" distB="0" distL="0" distR="0">
            <wp:extent cx="5274310" cy="26371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spacing w:line="360" w:lineRule="auto"/>
        <w:contextualSpacing/>
        <w:rPr>
          <w:sz w:val="28"/>
          <w:szCs w:val="28"/>
        </w:rPr>
      </w:pPr>
    </w:p>
    <w:p>
      <w:pPr>
        <w:pStyle w:val="4"/>
      </w:pPr>
      <w:r>
        <w:rPr>
          <w:rFonts w:hint="eastAsia"/>
        </w:rPr>
        <w:t>3.5系统</w:t>
      </w:r>
      <w:r>
        <w:t>管理</w:t>
      </w:r>
    </w:p>
    <w:p>
      <w:pPr>
        <w:spacing w:line="360" w:lineRule="auto"/>
        <w:ind w:firstLine="280" w:firstLineChars="100"/>
        <w:contextualSpacing/>
        <w:jc w:val="left"/>
        <w:rPr>
          <w:sz w:val="28"/>
          <w:szCs w:val="28"/>
        </w:rPr>
      </w:pPr>
      <w:r>
        <w:rPr>
          <w:rFonts w:hint="eastAsia"/>
          <w:sz w:val="28"/>
          <w:szCs w:val="28"/>
        </w:rPr>
        <w:t>1、系统功能说明</w:t>
      </w:r>
    </w:p>
    <w:p>
      <w:pPr>
        <w:pStyle w:val="12"/>
        <w:spacing w:line="360" w:lineRule="auto"/>
        <w:ind w:left="210" w:leftChars="100" w:firstLine="0" w:firstLineChars="0"/>
        <w:contextualSpacing/>
        <w:jc w:val="left"/>
        <w:rPr>
          <w:sz w:val="28"/>
          <w:szCs w:val="28"/>
        </w:rPr>
      </w:pPr>
      <w:r>
        <w:rPr>
          <w:rFonts w:hint="eastAsia"/>
          <w:sz w:val="28"/>
          <w:szCs w:val="28"/>
        </w:rPr>
        <w:t>本企业</w:t>
      </w:r>
      <w:r>
        <w:rPr>
          <w:sz w:val="28"/>
          <w:szCs w:val="28"/>
        </w:rPr>
        <w:t>可以创建子用户账号</w:t>
      </w:r>
      <w:r>
        <w:rPr>
          <w:rFonts w:hint="eastAsia"/>
          <w:sz w:val="28"/>
          <w:szCs w:val="28"/>
        </w:rPr>
        <w:t>，</w:t>
      </w:r>
      <w:r>
        <w:rPr>
          <w:sz w:val="28"/>
          <w:szCs w:val="28"/>
        </w:rPr>
        <w:t>进行权限的分配和管理</w:t>
      </w:r>
      <w:r>
        <w:rPr>
          <w:rFonts w:hint="eastAsia"/>
          <w:sz w:val="28"/>
          <w:szCs w:val="28"/>
        </w:rPr>
        <w:t>。</w:t>
      </w:r>
    </w:p>
    <w:p>
      <w:pPr>
        <w:spacing w:line="360" w:lineRule="auto"/>
        <w:ind w:firstLine="280" w:firstLineChars="100"/>
        <w:contextualSpacing/>
        <w:jc w:val="left"/>
        <w:rPr>
          <w:sz w:val="28"/>
          <w:szCs w:val="28"/>
        </w:rPr>
      </w:pPr>
      <w:r>
        <w:rPr>
          <w:rFonts w:hint="eastAsia"/>
          <w:sz w:val="28"/>
          <w:szCs w:val="28"/>
        </w:rPr>
        <w:t>2、系统操作说明</w:t>
      </w:r>
    </w:p>
    <w:p>
      <w:pPr>
        <w:spacing w:line="360" w:lineRule="auto"/>
        <w:ind w:left="210" w:leftChars="100"/>
        <w:contextualSpacing/>
        <w:jc w:val="left"/>
        <w:rPr>
          <w:sz w:val="28"/>
          <w:szCs w:val="28"/>
        </w:rPr>
      </w:pPr>
      <w:r>
        <w:rPr>
          <w:rFonts w:hint="eastAsia"/>
          <w:sz w:val="28"/>
          <w:szCs w:val="28"/>
        </w:rPr>
        <w:t>点击左侧</w:t>
      </w:r>
      <w:r>
        <w:rPr>
          <w:sz w:val="28"/>
          <w:szCs w:val="28"/>
        </w:rPr>
        <w:t>菜单【</w:t>
      </w:r>
      <w:r>
        <w:rPr>
          <w:rFonts w:hint="eastAsia"/>
          <w:sz w:val="28"/>
          <w:szCs w:val="28"/>
        </w:rPr>
        <w:t>系统</w:t>
      </w:r>
      <w:r>
        <w:rPr>
          <w:sz w:val="28"/>
          <w:szCs w:val="28"/>
        </w:rPr>
        <w:t>管理-</w:t>
      </w:r>
      <w:r>
        <w:rPr>
          <w:rFonts w:hint="eastAsia"/>
          <w:sz w:val="28"/>
          <w:szCs w:val="28"/>
        </w:rPr>
        <w:t>子用户列表</w:t>
      </w:r>
      <w:r>
        <w:rPr>
          <w:sz w:val="28"/>
          <w:szCs w:val="28"/>
        </w:rPr>
        <w:t>】</w:t>
      </w:r>
      <w:r>
        <w:rPr>
          <w:rFonts w:hint="eastAsia"/>
          <w:sz w:val="28"/>
          <w:szCs w:val="28"/>
        </w:rPr>
        <w:t>进入子用户列表页面</w:t>
      </w:r>
      <w:r>
        <w:rPr>
          <w:sz w:val="28"/>
          <w:szCs w:val="28"/>
        </w:rPr>
        <w:t>，如图所示</w:t>
      </w:r>
      <w:r>
        <w:rPr>
          <w:rFonts w:hint="eastAsia"/>
          <w:sz w:val="28"/>
          <w:szCs w:val="28"/>
        </w:rPr>
        <w:t>；</w:t>
      </w:r>
    </w:p>
    <w:p>
      <w:pPr>
        <w:spacing w:line="360" w:lineRule="auto"/>
        <w:ind w:left="210" w:leftChars="100"/>
        <w:contextualSpacing/>
        <w:jc w:val="center"/>
        <w:rPr>
          <w:sz w:val="28"/>
          <w:szCs w:val="28"/>
        </w:rPr>
      </w:pPr>
      <w:r>
        <w:rPr>
          <w:sz w:val="28"/>
          <w:szCs w:val="28"/>
        </w:rPr>
        <w:drawing>
          <wp:inline distT="0" distB="0" distL="0" distR="0">
            <wp:extent cx="5274310" cy="25984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598420"/>
                    </a:xfrm>
                    <a:prstGeom prst="rect">
                      <a:avLst/>
                    </a:prstGeom>
                  </pic:spPr>
                </pic:pic>
              </a:graphicData>
            </a:graphic>
          </wp:inline>
        </w:drawing>
      </w:r>
    </w:p>
    <w:p>
      <w:pPr>
        <w:spacing w:line="360" w:lineRule="auto"/>
        <w:ind w:left="210" w:leftChars="100"/>
        <w:contextualSpacing/>
        <w:jc w:val="center"/>
        <w:rPr>
          <w:sz w:val="28"/>
          <w:szCs w:val="28"/>
        </w:rPr>
      </w:pPr>
      <w:r>
        <w:rPr>
          <w:rFonts w:hint="eastAsia"/>
          <w:sz w:val="28"/>
          <w:szCs w:val="28"/>
        </w:rPr>
        <w:drawing>
          <wp:inline distT="0" distB="0" distL="0" distR="0">
            <wp:extent cx="5274310" cy="26117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pPr>
        <w:spacing w:line="360" w:lineRule="auto"/>
        <w:ind w:left="210" w:leftChars="100" w:firstLine="420"/>
        <w:contextualSpacing/>
        <w:jc w:val="center"/>
        <w:rPr>
          <w:sz w:val="28"/>
          <w:szCs w:val="28"/>
        </w:rPr>
      </w:pPr>
    </w:p>
    <w:p>
      <w:pPr>
        <w:pStyle w:val="4"/>
      </w:pPr>
      <w:r>
        <w:rPr>
          <w:rFonts w:hint="eastAsia"/>
        </w:rPr>
        <w:t>3.6采购单查看</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w:t>
      </w:r>
      <w:r>
        <w:rPr>
          <w:rFonts w:hint="eastAsia"/>
          <w:sz w:val="28"/>
          <w:szCs w:val="28"/>
        </w:rPr>
        <w:t>主要是查看本企业下产品的采购单详情。</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 xml:space="preserve">： </w:t>
      </w:r>
    </w:p>
    <w:p>
      <w:pPr>
        <w:pStyle w:val="12"/>
        <w:ind w:left="210" w:leftChars="100" w:firstLine="0" w:firstLineChars="0"/>
        <w:jc w:val="left"/>
        <w:rPr>
          <w:sz w:val="28"/>
          <w:szCs w:val="28"/>
        </w:rPr>
      </w:pPr>
      <w:r>
        <w:rPr>
          <w:rFonts w:hint="eastAsia"/>
          <w:sz w:val="28"/>
          <w:szCs w:val="28"/>
        </w:rPr>
        <w:t>点击左侧菜单【</w:t>
      </w:r>
      <w:r>
        <w:rPr>
          <w:rFonts w:hint="eastAsia"/>
          <w:b/>
          <w:bCs/>
          <w:sz w:val="28"/>
          <w:szCs w:val="28"/>
        </w:rPr>
        <w:t>采购单查看-采购单查看</w:t>
      </w:r>
      <w:r>
        <w:rPr>
          <w:rFonts w:hint="eastAsia"/>
          <w:sz w:val="28"/>
          <w:szCs w:val="28"/>
        </w:rPr>
        <w:t>】进入功能页面如图，可查看所有本企业产品的所有采购单，可通过医院，时间等信息进行精确查询，如图所示</w:t>
      </w:r>
    </w:p>
    <w:p>
      <w:pPr>
        <w:pStyle w:val="12"/>
        <w:ind w:left="210" w:leftChars="100" w:firstLine="0" w:firstLineChars="0"/>
        <w:rPr>
          <w:sz w:val="28"/>
          <w:szCs w:val="28"/>
        </w:rPr>
      </w:pPr>
      <w:r>
        <w:rPr>
          <w:sz w:val="28"/>
          <w:szCs w:val="28"/>
        </w:rPr>
        <w:drawing>
          <wp:inline distT="0" distB="0" distL="0" distR="0">
            <wp:extent cx="5274310" cy="2625725"/>
            <wp:effectExtent l="0" t="0" r="254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pStyle w:val="4"/>
      </w:pPr>
      <w:r>
        <w:rPr>
          <w:rFonts w:hint="eastAsia"/>
        </w:rPr>
        <w:t>3.</w:t>
      </w:r>
      <w:r>
        <w:t>7</w:t>
      </w:r>
      <w:r>
        <w:rPr>
          <w:rFonts w:hint="eastAsia"/>
        </w:rPr>
        <w:t>药品配送率查看</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2"/>
        <w:spacing w:line="360" w:lineRule="auto"/>
        <w:ind w:left="210" w:leftChars="100" w:firstLine="280" w:firstLineChars="100"/>
        <w:contextualSpacing/>
        <w:jc w:val="left"/>
        <w:rPr>
          <w:sz w:val="28"/>
          <w:szCs w:val="28"/>
        </w:rPr>
      </w:pPr>
      <w:r>
        <w:rPr>
          <w:sz w:val="28"/>
          <w:szCs w:val="28"/>
        </w:rPr>
        <w:t>功能</w:t>
      </w:r>
      <w:r>
        <w:rPr>
          <w:rFonts w:hint="eastAsia"/>
          <w:sz w:val="28"/>
          <w:szCs w:val="28"/>
        </w:rPr>
        <w:t>主要是查看本企业下药品的配送率。</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 xml:space="preserve">： </w:t>
      </w:r>
    </w:p>
    <w:p>
      <w:pPr>
        <w:pStyle w:val="12"/>
        <w:ind w:left="210" w:leftChars="100" w:firstLine="0" w:firstLineChars="0"/>
        <w:jc w:val="left"/>
        <w:rPr>
          <w:sz w:val="28"/>
          <w:szCs w:val="28"/>
        </w:rPr>
      </w:pPr>
      <w:r>
        <w:rPr>
          <w:rFonts w:hint="eastAsia"/>
          <w:sz w:val="28"/>
          <w:szCs w:val="28"/>
        </w:rPr>
        <w:t>点击左侧菜单【</w:t>
      </w:r>
      <w:r>
        <w:rPr>
          <w:rFonts w:hint="eastAsia"/>
          <w:b/>
          <w:bCs/>
          <w:sz w:val="28"/>
          <w:szCs w:val="28"/>
        </w:rPr>
        <w:t>药品配送率查看-药品配送率查看</w:t>
      </w:r>
      <w:r>
        <w:rPr>
          <w:rFonts w:hint="eastAsia"/>
          <w:sz w:val="28"/>
          <w:szCs w:val="28"/>
        </w:rPr>
        <w:t>】进入功能页面，可查看所有本企业产品的药品配送率如图所示</w:t>
      </w:r>
    </w:p>
    <w:p>
      <w:pPr>
        <w:spacing w:line="360" w:lineRule="auto"/>
        <w:contextualSpacing/>
        <w:rPr>
          <w:sz w:val="28"/>
          <w:szCs w:val="28"/>
        </w:rPr>
      </w:pPr>
      <w:r>
        <w:rPr>
          <w:rFonts w:hint="eastAsia"/>
          <w:sz w:val="28"/>
          <w:szCs w:val="28"/>
        </w:rPr>
        <w:drawing>
          <wp:inline distT="0" distB="0" distL="0" distR="0">
            <wp:extent cx="5274310" cy="26098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609850"/>
                    </a:xfrm>
                    <a:prstGeom prst="rect">
                      <a:avLst/>
                    </a:prstGeom>
                  </pic:spPr>
                </pic:pic>
              </a:graphicData>
            </a:graphic>
          </wp:inline>
        </w:drawing>
      </w:r>
    </w:p>
    <w:p>
      <w:pPr>
        <w:pStyle w:val="4"/>
      </w:pPr>
      <w:r>
        <w:rPr>
          <w:rFonts w:hint="eastAsia"/>
        </w:rPr>
        <w:t>3.</w:t>
      </w:r>
      <w:r>
        <w:t>8</w:t>
      </w:r>
      <w:r>
        <w:rPr>
          <w:rFonts w:hint="eastAsia"/>
        </w:rPr>
        <w:t>国家带量采购专区</w:t>
      </w:r>
    </w:p>
    <w:p>
      <w:pPr>
        <w:pStyle w:val="12"/>
        <w:numPr>
          <w:ilvl w:val="0"/>
          <w:numId w:val="7"/>
        </w:numPr>
        <w:spacing w:line="360" w:lineRule="auto"/>
        <w:ind w:left="210" w:leftChars="100" w:firstLineChars="0"/>
        <w:contextualSpacing/>
        <w:jc w:val="left"/>
        <w:rPr>
          <w:sz w:val="28"/>
          <w:szCs w:val="28"/>
        </w:rPr>
      </w:pPr>
      <w:r>
        <w:rPr>
          <w:rFonts w:hint="eastAsia"/>
          <w:sz w:val="28"/>
          <w:szCs w:val="28"/>
        </w:rPr>
        <w:t>系统功能说明</w:t>
      </w:r>
    </w:p>
    <w:p>
      <w:pPr>
        <w:spacing w:line="360" w:lineRule="auto"/>
        <w:ind w:firstLine="210"/>
        <w:contextualSpacing/>
        <w:jc w:val="left"/>
        <w:rPr>
          <w:sz w:val="28"/>
          <w:szCs w:val="28"/>
        </w:rPr>
      </w:pPr>
      <w:r>
        <w:rPr>
          <w:rFonts w:hint="eastAsia"/>
          <w:sz w:val="28"/>
          <w:szCs w:val="28"/>
        </w:rPr>
        <w:t>功能主要是查看本企业相关带量采购合同信息。</w:t>
      </w:r>
    </w:p>
    <w:p>
      <w:pPr>
        <w:pStyle w:val="12"/>
        <w:numPr>
          <w:ilvl w:val="0"/>
          <w:numId w:val="7"/>
        </w:numPr>
        <w:spacing w:line="360" w:lineRule="auto"/>
        <w:ind w:left="210" w:leftChars="100" w:firstLineChars="0"/>
        <w:contextualSpacing/>
        <w:jc w:val="left"/>
        <w:rPr>
          <w:sz w:val="28"/>
          <w:szCs w:val="28"/>
        </w:rPr>
      </w:pPr>
      <w:r>
        <w:rPr>
          <w:rFonts w:hint="eastAsia"/>
          <w:sz w:val="28"/>
          <w:szCs w:val="28"/>
        </w:rPr>
        <w:t>系统操作说明</w:t>
      </w:r>
    </w:p>
    <w:p>
      <w:pPr>
        <w:spacing w:line="360" w:lineRule="auto"/>
        <w:ind w:firstLine="1120" w:firstLineChars="400"/>
        <w:contextualSpacing/>
        <w:jc w:val="left"/>
        <w:rPr>
          <w:sz w:val="28"/>
          <w:szCs w:val="28"/>
        </w:rPr>
      </w:pPr>
      <w:r>
        <w:rPr>
          <w:rFonts w:hint="eastAsia"/>
          <w:sz w:val="28"/>
          <w:szCs w:val="28"/>
        </w:rPr>
        <w:t>点击左侧菜单【</w:t>
      </w:r>
      <w:r>
        <w:rPr>
          <w:rFonts w:hint="eastAsia"/>
          <w:b/>
          <w:bCs/>
          <w:sz w:val="28"/>
          <w:szCs w:val="28"/>
        </w:rPr>
        <w:t>国家带量采购专区-合同管理</w:t>
      </w:r>
      <w:r>
        <w:rPr>
          <w:rFonts w:hint="eastAsia"/>
          <w:sz w:val="28"/>
          <w:szCs w:val="28"/>
        </w:rPr>
        <w:t>】进入功能页面，如图所示。可查看合同续约信息</w:t>
      </w:r>
    </w:p>
    <w:p>
      <w:pPr>
        <w:spacing w:line="360" w:lineRule="auto"/>
        <w:contextualSpacing/>
        <w:jc w:val="left"/>
        <w:rPr>
          <w:sz w:val="28"/>
          <w:szCs w:val="28"/>
        </w:rPr>
      </w:pPr>
      <w:r>
        <w:rPr>
          <w:rFonts w:hint="eastAsia"/>
        </w:rPr>
        <w:drawing>
          <wp:inline distT="0" distB="0" distL="0" distR="0">
            <wp:extent cx="5274310" cy="262572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pStyle w:val="12"/>
        <w:spacing w:line="360" w:lineRule="auto"/>
        <w:ind w:left="210" w:leftChars="100" w:firstLine="840" w:firstLineChars="300"/>
        <w:contextualSpacing/>
        <w:jc w:val="left"/>
        <w:rPr>
          <w:sz w:val="28"/>
          <w:szCs w:val="28"/>
        </w:rPr>
      </w:pPr>
      <w:r>
        <w:rPr>
          <w:rFonts w:hint="eastAsia"/>
          <w:sz w:val="28"/>
          <w:szCs w:val="28"/>
        </w:rPr>
        <w:t>点击左侧菜单【</w:t>
      </w:r>
      <w:r>
        <w:rPr>
          <w:rFonts w:hint="eastAsia"/>
          <w:b/>
          <w:bCs/>
          <w:sz w:val="28"/>
          <w:szCs w:val="28"/>
        </w:rPr>
        <w:t>国家带量采购专区-带量采购合同管理</w:t>
      </w:r>
      <w:r>
        <w:rPr>
          <w:rFonts w:hint="eastAsia"/>
          <w:sz w:val="28"/>
          <w:szCs w:val="28"/>
        </w:rPr>
        <w:t>】进入功能页面，如图所示。</w:t>
      </w:r>
    </w:p>
    <w:p>
      <w:pPr>
        <w:pStyle w:val="12"/>
        <w:spacing w:line="360" w:lineRule="auto"/>
        <w:ind w:left="210" w:leftChars="100" w:firstLine="0" w:firstLineChars="0"/>
        <w:contextualSpacing/>
        <w:rPr>
          <w:sz w:val="28"/>
          <w:szCs w:val="28"/>
        </w:rPr>
      </w:pPr>
      <w:r>
        <w:rPr>
          <w:sz w:val="28"/>
          <w:szCs w:val="28"/>
        </w:rPr>
        <w:drawing>
          <wp:inline distT="0" distB="0" distL="0" distR="0">
            <wp:extent cx="5274310" cy="26117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pPr>
        <w:pStyle w:val="12"/>
        <w:spacing w:line="360" w:lineRule="auto"/>
        <w:ind w:left="210" w:leftChars="100" w:firstLine="0" w:firstLineChars="0"/>
        <w:contextualSpacing/>
        <w:jc w:val="center"/>
        <w:rPr>
          <w:sz w:val="28"/>
          <w:szCs w:val="28"/>
        </w:rPr>
      </w:pPr>
    </w:p>
    <w:p>
      <w:pPr>
        <w:spacing w:line="360" w:lineRule="auto"/>
        <w:ind w:left="210" w:leftChars="100"/>
        <w:contextualSpacing/>
        <w:jc w:val="center"/>
        <w:rPr>
          <w:sz w:val="28"/>
          <w:szCs w:val="28"/>
        </w:rPr>
      </w:pPr>
    </w:p>
    <w:p>
      <w:pPr>
        <w:spacing w:line="360" w:lineRule="auto"/>
        <w:ind w:left="210" w:leftChars="100"/>
        <w:contextualSpacing/>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332C1"/>
    <w:multiLevelType w:val="singleLevel"/>
    <w:tmpl w:val="A5C332C1"/>
    <w:lvl w:ilvl="0" w:tentative="0">
      <w:start w:val="2"/>
      <w:numFmt w:val="decimal"/>
      <w:lvlText w:val="%1."/>
      <w:lvlJc w:val="left"/>
      <w:pPr>
        <w:tabs>
          <w:tab w:val="left" w:pos="312"/>
        </w:tabs>
      </w:pPr>
    </w:lvl>
  </w:abstractNum>
  <w:abstractNum w:abstractNumId="1">
    <w:nsid w:val="BD44E370"/>
    <w:multiLevelType w:val="singleLevel"/>
    <w:tmpl w:val="BD44E370"/>
    <w:lvl w:ilvl="0" w:tentative="0">
      <w:start w:val="1"/>
      <w:numFmt w:val="decimal"/>
      <w:suff w:val="nothing"/>
      <w:lvlText w:val="%1、"/>
      <w:lvlJc w:val="left"/>
    </w:lvl>
  </w:abstractNum>
  <w:abstractNum w:abstractNumId="2">
    <w:nsid w:val="158A7DAE"/>
    <w:multiLevelType w:val="multilevel"/>
    <w:tmpl w:val="158A7DAE"/>
    <w:lvl w:ilvl="0" w:tentative="0">
      <w:start w:val="1"/>
      <w:numFmt w:val="japaneseCounting"/>
      <w:lvlText w:val="%1、"/>
      <w:lvlJc w:val="left"/>
      <w:pPr>
        <w:ind w:left="1003" w:hanging="720"/>
      </w:pPr>
      <w:rPr>
        <w:rFonts w:hint="default"/>
      </w:rPr>
    </w:lvl>
    <w:lvl w:ilvl="1" w:tentative="0">
      <w:start w:val="1"/>
      <w:numFmt w:val="decimal"/>
      <w:lvlText w:val="%2、"/>
      <w:lvlJc w:val="left"/>
      <w:pPr>
        <w:ind w:left="4603" w:hanging="720"/>
      </w:pPr>
      <w:rPr>
        <w:rFonts w:hint="default"/>
      </w:rPr>
    </w:lvl>
    <w:lvl w:ilvl="2" w:tentative="0">
      <w:start w:val="1"/>
      <w:numFmt w:val="lowerRoman"/>
      <w:lvlText w:val="%3."/>
      <w:lvlJc w:val="right"/>
      <w:pPr>
        <w:ind w:left="4860" w:hanging="420"/>
      </w:pPr>
    </w:lvl>
    <w:lvl w:ilvl="3" w:tentative="0">
      <w:start w:val="1"/>
      <w:numFmt w:val="decimal"/>
      <w:lvlText w:val="%4."/>
      <w:lvlJc w:val="left"/>
      <w:pPr>
        <w:ind w:left="5280" w:hanging="420"/>
      </w:pPr>
    </w:lvl>
    <w:lvl w:ilvl="4" w:tentative="0">
      <w:start w:val="1"/>
      <w:numFmt w:val="lowerLetter"/>
      <w:lvlText w:val="%5)"/>
      <w:lvlJc w:val="left"/>
      <w:pPr>
        <w:ind w:left="5700" w:hanging="420"/>
      </w:pPr>
    </w:lvl>
    <w:lvl w:ilvl="5" w:tentative="0">
      <w:start w:val="1"/>
      <w:numFmt w:val="lowerRoman"/>
      <w:lvlText w:val="%6."/>
      <w:lvlJc w:val="right"/>
      <w:pPr>
        <w:ind w:left="6120" w:hanging="420"/>
      </w:pPr>
    </w:lvl>
    <w:lvl w:ilvl="6" w:tentative="0">
      <w:start w:val="1"/>
      <w:numFmt w:val="decimal"/>
      <w:lvlText w:val="%7."/>
      <w:lvlJc w:val="left"/>
      <w:pPr>
        <w:ind w:left="6540" w:hanging="420"/>
      </w:pPr>
    </w:lvl>
    <w:lvl w:ilvl="7" w:tentative="0">
      <w:start w:val="1"/>
      <w:numFmt w:val="lowerLetter"/>
      <w:lvlText w:val="%8)"/>
      <w:lvlJc w:val="left"/>
      <w:pPr>
        <w:ind w:left="6960" w:hanging="420"/>
      </w:pPr>
    </w:lvl>
    <w:lvl w:ilvl="8" w:tentative="0">
      <w:start w:val="1"/>
      <w:numFmt w:val="lowerRoman"/>
      <w:lvlText w:val="%9."/>
      <w:lvlJc w:val="right"/>
      <w:pPr>
        <w:ind w:left="7380" w:hanging="420"/>
      </w:pPr>
    </w:lvl>
  </w:abstractNum>
  <w:abstractNum w:abstractNumId="3">
    <w:nsid w:val="25D40294"/>
    <w:multiLevelType w:val="multilevel"/>
    <w:tmpl w:val="25D40294"/>
    <w:lvl w:ilvl="0" w:tentative="0">
      <w:start w:val="1"/>
      <w:numFmt w:val="decimal"/>
      <w:lvlText w:val="%1、"/>
      <w:lvlJc w:val="left"/>
      <w:pPr>
        <w:ind w:left="1005" w:hanging="720"/>
      </w:pPr>
      <w:rPr>
        <w:rFonts w:hint="default"/>
      </w:rPr>
    </w:lvl>
    <w:lvl w:ilvl="1" w:tentative="0">
      <w:start w:val="1"/>
      <w:numFmt w:val="lowerLetter"/>
      <w:lvlText w:val="%2)"/>
      <w:lvlJc w:val="left"/>
      <w:pPr>
        <w:ind w:left="1125" w:hanging="420"/>
      </w:pPr>
    </w:lvl>
    <w:lvl w:ilvl="2" w:tentative="0">
      <w:start w:val="1"/>
      <w:numFmt w:val="lowerRoman"/>
      <w:lvlText w:val="%3."/>
      <w:lvlJc w:val="right"/>
      <w:pPr>
        <w:ind w:left="1545" w:hanging="420"/>
      </w:pPr>
    </w:lvl>
    <w:lvl w:ilvl="3" w:tentative="0">
      <w:start w:val="1"/>
      <w:numFmt w:val="decimal"/>
      <w:lvlText w:val="%4."/>
      <w:lvlJc w:val="left"/>
      <w:pPr>
        <w:ind w:left="1965" w:hanging="420"/>
      </w:pPr>
    </w:lvl>
    <w:lvl w:ilvl="4" w:tentative="0">
      <w:start w:val="1"/>
      <w:numFmt w:val="lowerLetter"/>
      <w:lvlText w:val="%5)"/>
      <w:lvlJc w:val="left"/>
      <w:pPr>
        <w:ind w:left="2385" w:hanging="420"/>
      </w:pPr>
    </w:lvl>
    <w:lvl w:ilvl="5" w:tentative="0">
      <w:start w:val="1"/>
      <w:numFmt w:val="lowerRoman"/>
      <w:lvlText w:val="%6."/>
      <w:lvlJc w:val="right"/>
      <w:pPr>
        <w:ind w:left="2805" w:hanging="420"/>
      </w:pPr>
    </w:lvl>
    <w:lvl w:ilvl="6" w:tentative="0">
      <w:start w:val="1"/>
      <w:numFmt w:val="decimal"/>
      <w:lvlText w:val="%7."/>
      <w:lvlJc w:val="left"/>
      <w:pPr>
        <w:ind w:left="3225" w:hanging="420"/>
      </w:pPr>
    </w:lvl>
    <w:lvl w:ilvl="7" w:tentative="0">
      <w:start w:val="1"/>
      <w:numFmt w:val="lowerLetter"/>
      <w:lvlText w:val="%8)"/>
      <w:lvlJc w:val="left"/>
      <w:pPr>
        <w:ind w:left="3645" w:hanging="420"/>
      </w:pPr>
    </w:lvl>
    <w:lvl w:ilvl="8" w:tentative="0">
      <w:start w:val="1"/>
      <w:numFmt w:val="lowerRoman"/>
      <w:lvlText w:val="%9."/>
      <w:lvlJc w:val="right"/>
      <w:pPr>
        <w:ind w:left="4065" w:hanging="420"/>
      </w:pPr>
    </w:lvl>
  </w:abstractNum>
  <w:abstractNum w:abstractNumId="4">
    <w:nsid w:val="57423D40"/>
    <w:multiLevelType w:val="multilevel"/>
    <w:tmpl w:val="57423D40"/>
    <w:lvl w:ilvl="0" w:tentative="0">
      <w:start w:val="1"/>
      <w:numFmt w:val="chineseCountingThousand"/>
      <w:lvlText w:val="%1、"/>
      <w:lvlJc w:val="left"/>
      <w:pPr>
        <w:ind w:left="420" w:hanging="420"/>
      </w:pPr>
    </w:lvl>
    <w:lvl w:ilvl="1" w:tentative="0">
      <w:start w:val="1"/>
      <w:numFmt w:val="decimal"/>
      <w:lvlText w:val="%2、"/>
      <w:lvlJc w:val="left"/>
      <w:pPr>
        <w:ind w:left="72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8A71654"/>
    <w:multiLevelType w:val="multilevel"/>
    <w:tmpl w:val="68A7165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2"/>
  </w:num>
  <w:num w:numId="2">
    <w:abstractNumId w:val="5"/>
  </w:num>
  <w:num w:numId="3">
    <w:abstractNumId w:val="0"/>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ED"/>
    <w:rsid w:val="000078A6"/>
    <w:rsid w:val="00007DBF"/>
    <w:rsid w:val="00011942"/>
    <w:rsid w:val="00017715"/>
    <w:rsid w:val="00031ED8"/>
    <w:rsid w:val="00034550"/>
    <w:rsid w:val="0003598A"/>
    <w:rsid w:val="000404EA"/>
    <w:rsid w:val="00042113"/>
    <w:rsid w:val="00042A22"/>
    <w:rsid w:val="00045109"/>
    <w:rsid w:val="000466C5"/>
    <w:rsid w:val="00050FC3"/>
    <w:rsid w:val="00052163"/>
    <w:rsid w:val="00052D16"/>
    <w:rsid w:val="00052EAF"/>
    <w:rsid w:val="00053743"/>
    <w:rsid w:val="00053FD8"/>
    <w:rsid w:val="0006248A"/>
    <w:rsid w:val="000637AB"/>
    <w:rsid w:val="00077D3D"/>
    <w:rsid w:val="000932BA"/>
    <w:rsid w:val="00094418"/>
    <w:rsid w:val="0009708C"/>
    <w:rsid w:val="0009776A"/>
    <w:rsid w:val="000B67D0"/>
    <w:rsid w:val="000D0ABF"/>
    <w:rsid w:val="000D61C4"/>
    <w:rsid w:val="000E2AD6"/>
    <w:rsid w:val="000E56D3"/>
    <w:rsid w:val="000F107E"/>
    <w:rsid w:val="000F4A94"/>
    <w:rsid w:val="0010006C"/>
    <w:rsid w:val="00107587"/>
    <w:rsid w:val="00112AB7"/>
    <w:rsid w:val="0011305E"/>
    <w:rsid w:val="001150CF"/>
    <w:rsid w:val="00125DF1"/>
    <w:rsid w:val="00127FB9"/>
    <w:rsid w:val="001340AC"/>
    <w:rsid w:val="001459F4"/>
    <w:rsid w:val="0015675A"/>
    <w:rsid w:val="00163313"/>
    <w:rsid w:val="001647CF"/>
    <w:rsid w:val="00165B4C"/>
    <w:rsid w:val="001663D4"/>
    <w:rsid w:val="00173AFE"/>
    <w:rsid w:val="001744D8"/>
    <w:rsid w:val="001768B8"/>
    <w:rsid w:val="00181ABC"/>
    <w:rsid w:val="00181ED2"/>
    <w:rsid w:val="00185BD5"/>
    <w:rsid w:val="0019393D"/>
    <w:rsid w:val="001A3145"/>
    <w:rsid w:val="001A4A93"/>
    <w:rsid w:val="001B5AD9"/>
    <w:rsid w:val="001B712C"/>
    <w:rsid w:val="001C24E6"/>
    <w:rsid w:val="001C3300"/>
    <w:rsid w:val="001C40B5"/>
    <w:rsid w:val="001C66EA"/>
    <w:rsid w:val="001D31F6"/>
    <w:rsid w:val="001D6008"/>
    <w:rsid w:val="001E3711"/>
    <w:rsid w:val="001F6421"/>
    <w:rsid w:val="001F7068"/>
    <w:rsid w:val="00205540"/>
    <w:rsid w:val="00222B4B"/>
    <w:rsid w:val="002334DE"/>
    <w:rsid w:val="00235CBD"/>
    <w:rsid w:val="00240261"/>
    <w:rsid w:val="00242043"/>
    <w:rsid w:val="002509B8"/>
    <w:rsid w:val="00261652"/>
    <w:rsid w:val="00261817"/>
    <w:rsid w:val="0026269C"/>
    <w:rsid w:val="002716D1"/>
    <w:rsid w:val="00274BE7"/>
    <w:rsid w:val="00284E08"/>
    <w:rsid w:val="00292164"/>
    <w:rsid w:val="002937DC"/>
    <w:rsid w:val="00296D59"/>
    <w:rsid w:val="002973B2"/>
    <w:rsid w:val="002C231B"/>
    <w:rsid w:val="002C32B1"/>
    <w:rsid w:val="002C6358"/>
    <w:rsid w:val="002D0980"/>
    <w:rsid w:val="002E2428"/>
    <w:rsid w:val="002E3BFF"/>
    <w:rsid w:val="002E4B25"/>
    <w:rsid w:val="002E5611"/>
    <w:rsid w:val="002F0B66"/>
    <w:rsid w:val="002F5200"/>
    <w:rsid w:val="00300C3F"/>
    <w:rsid w:val="00311CB3"/>
    <w:rsid w:val="00312C1F"/>
    <w:rsid w:val="00312DB0"/>
    <w:rsid w:val="00321802"/>
    <w:rsid w:val="0032272C"/>
    <w:rsid w:val="0032331B"/>
    <w:rsid w:val="00323F11"/>
    <w:rsid w:val="003247AC"/>
    <w:rsid w:val="0033051D"/>
    <w:rsid w:val="00331A28"/>
    <w:rsid w:val="0033266E"/>
    <w:rsid w:val="00342DDE"/>
    <w:rsid w:val="00351E89"/>
    <w:rsid w:val="003663C3"/>
    <w:rsid w:val="00371CBF"/>
    <w:rsid w:val="00376F9D"/>
    <w:rsid w:val="00380B76"/>
    <w:rsid w:val="0038626C"/>
    <w:rsid w:val="003870CC"/>
    <w:rsid w:val="00391DBA"/>
    <w:rsid w:val="003A720F"/>
    <w:rsid w:val="003A7D05"/>
    <w:rsid w:val="003B3A04"/>
    <w:rsid w:val="003D272D"/>
    <w:rsid w:val="003E09EF"/>
    <w:rsid w:val="003E6815"/>
    <w:rsid w:val="003F271B"/>
    <w:rsid w:val="003F3C28"/>
    <w:rsid w:val="00402344"/>
    <w:rsid w:val="00411194"/>
    <w:rsid w:val="00413F06"/>
    <w:rsid w:val="00422234"/>
    <w:rsid w:val="0042452A"/>
    <w:rsid w:val="00427A25"/>
    <w:rsid w:val="004325F7"/>
    <w:rsid w:val="004358A0"/>
    <w:rsid w:val="00440AB8"/>
    <w:rsid w:val="00442349"/>
    <w:rsid w:val="00442B9D"/>
    <w:rsid w:val="004439DA"/>
    <w:rsid w:val="00452119"/>
    <w:rsid w:val="004818BB"/>
    <w:rsid w:val="00486837"/>
    <w:rsid w:val="00494B4D"/>
    <w:rsid w:val="00495755"/>
    <w:rsid w:val="004A00DE"/>
    <w:rsid w:val="004A1195"/>
    <w:rsid w:val="004A5AAE"/>
    <w:rsid w:val="004A708C"/>
    <w:rsid w:val="004B0011"/>
    <w:rsid w:val="004B08A0"/>
    <w:rsid w:val="004B23EA"/>
    <w:rsid w:val="004B6D02"/>
    <w:rsid w:val="004C0166"/>
    <w:rsid w:val="004C1142"/>
    <w:rsid w:val="004C186A"/>
    <w:rsid w:val="004C5EBE"/>
    <w:rsid w:val="004D37FD"/>
    <w:rsid w:val="004D4DAF"/>
    <w:rsid w:val="004E30AB"/>
    <w:rsid w:val="004E3D72"/>
    <w:rsid w:val="004F6A0E"/>
    <w:rsid w:val="004F6F06"/>
    <w:rsid w:val="0051015A"/>
    <w:rsid w:val="0051057B"/>
    <w:rsid w:val="00511EE5"/>
    <w:rsid w:val="00517503"/>
    <w:rsid w:val="00524039"/>
    <w:rsid w:val="0053732D"/>
    <w:rsid w:val="00543DF3"/>
    <w:rsid w:val="0055280E"/>
    <w:rsid w:val="00562B0B"/>
    <w:rsid w:val="00565254"/>
    <w:rsid w:val="00567613"/>
    <w:rsid w:val="00573D57"/>
    <w:rsid w:val="00574860"/>
    <w:rsid w:val="00585C37"/>
    <w:rsid w:val="00586B0F"/>
    <w:rsid w:val="00590B1B"/>
    <w:rsid w:val="0059362F"/>
    <w:rsid w:val="00593D5B"/>
    <w:rsid w:val="0059579C"/>
    <w:rsid w:val="005B6596"/>
    <w:rsid w:val="005C64B7"/>
    <w:rsid w:val="005D1534"/>
    <w:rsid w:val="005D40A3"/>
    <w:rsid w:val="005D4A9A"/>
    <w:rsid w:val="005D703D"/>
    <w:rsid w:val="005D74CA"/>
    <w:rsid w:val="005F6219"/>
    <w:rsid w:val="00600D98"/>
    <w:rsid w:val="00601336"/>
    <w:rsid w:val="00606F8E"/>
    <w:rsid w:val="00607AF1"/>
    <w:rsid w:val="006232FC"/>
    <w:rsid w:val="00624633"/>
    <w:rsid w:val="00631738"/>
    <w:rsid w:val="00631FC0"/>
    <w:rsid w:val="00636D1C"/>
    <w:rsid w:val="00640D8D"/>
    <w:rsid w:val="00641449"/>
    <w:rsid w:val="00646984"/>
    <w:rsid w:val="00646E2C"/>
    <w:rsid w:val="00654B03"/>
    <w:rsid w:val="00654C2F"/>
    <w:rsid w:val="006557C6"/>
    <w:rsid w:val="006616E6"/>
    <w:rsid w:val="00663F9F"/>
    <w:rsid w:val="006814A0"/>
    <w:rsid w:val="00683F49"/>
    <w:rsid w:val="006909E1"/>
    <w:rsid w:val="00692B85"/>
    <w:rsid w:val="006A11BA"/>
    <w:rsid w:val="006A45DD"/>
    <w:rsid w:val="006B50CC"/>
    <w:rsid w:val="006B7293"/>
    <w:rsid w:val="006C5889"/>
    <w:rsid w:val="006C60F4"/>
    <w:rsid w:val="006D1842"/>
    <w:rsid w:val="006E4569"/>
    <w:rsid w:val="006E57C2"/>
    <w:rsid w:val="006E76B9"/>
    <w:rsid w:val="00703E2F"/>
    <w:rsid w:val="007100F1"/>
    <w:rsid w:val="007128AA"/>
    <w:rsid w:val="00720B1E"/>
    <w:rsid w:val="00735B46"/>
    <w:rsid w:val="00737CD6"/>
    <w:rsid w:val="00746596"/>
    <w:rsid w:val="007471F7"/>
    <w:rsid w:val="0075761B"/>
    <w:rsid w:val="0075770F"/>
    <w:rsid w:val="007635E9"/>
    <w:rsid w:val="007646FD"/>
    <w:rsid w:val="0076578D"/>
    <w:rsid w:val="00765B61"/>
    <w:rsid w:val="0077085F"/>
    <w:rsid w:val="00783CBA"/>
    <w:rsid w:val="007945EB"/>
    <w:rsid w:val="00795E7D"/>
    <w:rsid w:val="007A27ED"/>
    <w:rsid w:val="007B1122"/>
    <w:rsid w:val="007B56FA"/>
    <w:rsid w:val="007B5C54"/>
    <w:rsid w:val="007C7B10"/>
    <w:rsid w:val="007D04A8"/>
    <w:rsid w:val="007D20DE"/>
    <w:rsid w:val="007D748F"/>
    <w:rsid w:val="007D78F6"/>
    <w:rsid w:val="007E1BB9"/>
    <w:rsid w:val="007E58D5"/>
    <w:rsid w:val="007F11D7"/>
    <w:rsid w:val="007F252B"/>
    <w:rsid w:val="007F3E19"/>
    <w:rsid w:val="007F5E5D"/>
    <w:rsid w:val="00802759"/>
    <w:rsid w:val="00804EDD"/>
    <w:rsid w:val="008050CE"/>
    <w:rsid w:val="008065C6"/>
    <w:rsid w:val="0081689A"/>
    <w:rsid w:val="00821000"/>
    <w:rsid w:val="008242D0"/>
    <w:rsid w:val="008305C0"/>
    <w:rsid w:val="00854828"/>
    <w:rsid w:val="00854B67"/>
    <w:rsid w:val="00856F03"/>
    <w:rsid w:val="008627FC"/>
    <w:rsid w:val="00872B6D"/>
    <w:rsid w:val="00877A20"/>
    <w:rsid w:val="00891A6F"/>
    <w:rsid w:val="008958B5"/>
    <w:rsid w:val="008A04F2"/>
    <w:rsid w:val="008A1663"/>
    <w:rsid w:val="008B4B27"/>
    <w:rsid w:val="008B6495"/>
    <w:rsid w:val="008B6973"/>
    <w:rsid w:val="008C0391"/>
    <w:rsid w:val="008D2C25"/>
    <w:rsid w:val="008E3F23"/>
    <w:rsid w:val="008F19AE"/>
    <w:rsid w:val="008F219F"/>
    <w:rsid w:val="008F3F70"/>
    <w:rsid w:val="008F4983"/>
    <w:rsid w:val="008F5836"/>
    <w:rsid w:val="008F7B3B"/>
    <w:rsid w:val="00900108"/>
    <w:rsid w:val="00902AA5"/>
    <w:rsid w:val="00917643"/>
    <w:rsid w:val="009228EC"/>
    <w:rsid w:val="00922B9F"/>
    <w:rsid w:val="00927A46"/>
    <w:rsid w:val="00930E09"/>
    <w:rsid w:val="00943F56"/>
    <w:rsid w:val="0094673A"/>
    <w:rsid w:val="0095275A"/>
    <w:rsid w:val="00955A2C"/>
    <w:rsid w:val="00971441"/>
    <w:rsid w:val="00983DC4"/>
    <w:rsid w:val="009869E5"/>
    <w:rsid w:val="009951EB"/>
    <w:rsid w:val="009954BE"/>
    <w:rsid w:val="009A286F"/>
    <w:rsid w:val="009A653A"/>
    <w:rsid w:val="009B7EA2"/>
    <w:rsid w:val="009C13E2"/>
    <w:rsid w:val="009C6353"/>
    <w:rsid w:val="009C7B9A"/>
    <w:rsid w:val="009D665C"/>
    <w:rsid w:val="009D68FE"/>
    <w:rsid w:val="009E01EC"/>
    <w:rsid w:val="009E0B81"/>
    <w:rsid w:val="009E1C5C"/>
    <w:rsid w:val="009E7A2F"/>
    <w:rsid w:val="009F6102"/>
    <w:rsid w:val="00A02D72"/>
    <w:rsid w:val="00A13C97"/>
    <w:rsid w:val="00A16C85"/>
    <w:rsid w:val="00A254FB"/>
    <w:rsid w:val="00A37161"/>
    <w:rsid w:val="00A50171"/>
    <w:rsid w:val="00A57E57"/>
    <w:rsid w:val="00A72AE5"/>
    <w:rsid w:val="00A74558"/>
    <w:rsid w:val="00A7734A"/>
    <w:rsid w:val="00A8722D"/>
    <w:rsid w:val="00A95415"/>
    <w:rsid w:val="00AA1801"/>
    <w:rsid w:val="00AB0D90"/>
    <w:rsid w:val="00AB457A"/>
    <w:rsid w:val="00AB4DEF"/>
    <w:rsid w:val="00AB566D"/>
    <w:rsid w:val="00AB7D40"/>
    <w:rsid w:val="00B02588"/>
    <w:rsid w:val="00B02C7F"/>
    <w:rsid w:val="00B060B8"/>
    <w:rsid w:val="00B1143B"/>
    <w:rsid w:val="00B27B5B"/>
    <w:rsid w:val="00B30A32"/>
    <w:rsid w:val="00B31E02"/>
    <w:rsid w:val="00B31E4C"/>
    <w:rsid w:val="00B36131"/>
    <w:rsid w:val="00B40586"/>
    <w:rsid w:val="00B45D0D"/>
    <w:rsid w:val="00B508AE"/>
    <w:rsid w:val="00B65C35"/>
    <w:rsid w:val="00B70E27"/>
    <w:rsid w:val="00B73352"/>
    <w:rsid w:val="00B75537"/>
    <w:rsid w:val="00B81B29"/>
    <w:rsid w:val="00B82768"/>
    <w:rsid w:val="00B84B25"/>
    <w:rsid w:val="00B84D2F"/>
    <w:rsid w:val="00B86DE1"/>
    <w:rsid w:val="00B87297"/>
    <w:rsid w:val="00B974AB"/>
    <w:rsid w:val="00BA0915"/>
    <w:rsid w:val="00BA3CBA"/>
    <w:rsid w:val="00BA651E"/>
    <w:rsid w:val="00BD60EC"/>
    <w:rsid w:val="00BE2E0A"/>
    <w:rsid w:val="00BE3F72"/>
    <w:rsid w:val="00BE6720"/>
    <w:rsid w:val="00BE7BEE"/>
    <w:rsid w:val="00BF050F"/>
    <w:rsid w:val="00C040BB"/>
    <w:rsid w:val="00C04FDC"/>
    <w:rsid w:val="00C07D80"/>
    <w:rsid w:val="00C119A2"/>
    <w:rsid w:val="00C13880"/>
    <w:rsid w:val="00C1673A"/>
    <w:rsid w:val="00C21DEE"/>
    <w:rsid w:val="00C31E57"/>
    <w:rsid w:val="00C35411"/>
    <w:rsid w:val="00C372CA"/>
    <w:rsid w:val="00C37D64"/>
    <w:rsid w:val="00C457C4"/>
    <w:rsid w:val="00C46271"/>
    <w:rsid w:val="00C53C31"/>
    <w:rsid w:val="00C544BF"/>
    <w:rsid w:val="00C6373B"/>
    <w:rsid w:val="00C6396A"/>
    <w:rsid w:val="00C63EA7"/>
    <w:rsid w:val="00C719A1"/>
    <w:rsid w:val="00C7581A"/>
    <w:rsid w:val="00C77058"/>
    <w:rsid w:val="00C776CC"/>
    <w:rsid w:val="00C8113E"/>
    <w:rsid w:val="00C90CA0"/>
    <w:rsid w:val="00C91636"/>
    <w:rsid w:val="00C92330"/>
    <w:rsid w:val="00CA5B0A"/>
    <w:rsid w:val="00CB0171"/>
    <w:rsid w:val="00CB16E9"/>
    <w:rsid w:val="00CC3705"/>
    <w:rsid w:val="00CC71E0"/>
    <w:rsid w:val="00CD0131"/>
    <w:rsid w:val="00CD2508"/>
    <w:rsid w:val="00CD5835"/>
    <w:rsid w:val="00CE666C"/>
    <w:rsid w:val="00CE6737"/>
    <w:rsid w:val="00CF0D8D"/>
    <w:rsid w:val="00CF1079"/>
    <w:rsid w:val="00CF64CD"/>
    <w:rsid w:val="00D001C7"/>
    <w:rsid w:val="00D0193C"/>
    <w:rsid w:val="00D21420"/>
    <w:rsid w:val="00D23417"/>
    <w:rsid w:val="00D3101C"/>
    <w:rsid w:val="00D33573"/>
    <w:rsid w:val="00D33BA0"/>
    <w:rsid w:val="00D344F5"/>
    <w:rsid w:val="00D354DA"/>
    <w:rsid w:val="00D42FAA"/>
    <w:rsid w:val="00D43603"/>
    <w:rsid w:val="00D571E7"/>
    <w:rsid w:val="00D63C03"/>
    <w:rsid w:val="00D7347A"/>
    <w:rsid w:val="00D74330"/>
    <w:rsid w:val="00D76071"/>
    <w:rsid w:val="00D816EC"/>
    <w:rsid w:val="00D81D46"/>
    <w:rsid w:val="00D82EC3"/>
    <w:rsid w:val="00D86C27"/>
    <w:rsid w:val="00D87AEA"/>
    <w:rsid w:val="00D94453"/>
    <w:rsid w:val="00DA0526"/>
    <w:rsid w:val="00DA3EA4"/>
    <w:rsid w:val="00DB6957"/>
    <w:rsid w:val="00DB6C26"/>
    <w:rsid w:val="00DC524D"/>
    <w:rsid w:val="00DC5253"/>
    <w:rsid w:val="00DC57AB"/>
    <w:rsid w:val="00DC6723"/>
    <w:rsid w:val="00DD7859"/>
    <w:rsid w:val="00DE3E54"/>
    <w:rsid w:val="00DE7063"/>
    <w:rsid w:val="00DF3D65"/>
    <w:rsid w:val="00DF4220"/>
    <w:rsid w:val="00DF4713"/>
    <w:rsid w:val="00DF5BDD"/>
    <w:rsid w:val="00DF7333"/>
    <w:rsid w:val="00E13594"/>
    <w:rsid w:val="00E16D8B"/>
    <w:rsid w:val="00E24C6C"/>
    <w:rsid w:val="00E32B47"/>
    <w:rsid w:val="00E42422"/>
    <w:rsid w:val="00E434E8"/>
    <w:rsid w:val="00E446CB"/>
    <w:rsid w:val="00E467E7"/>
    <w:rsid w:val="00E5717F"/>
    <w:rsid w:val="00E774D2"/>
    <w:rsid w:val="00E77C4D"/>
    <w:rsid w:val="00EA1042"/>
    <w:rsid w:val="00EA1873"/>
    <w:rsid w:val="00EA50A0"/>
    <w:rsid w:val="00EA5E23"/>
    <w:rsid w:val="00EA738E"/>
    <w:rsid w:val="00EC6E7F"/>
    <w:rsid w:val="00ED29CF"/>
    <w:rsid w:val="00ED48BD"/>
    <w:rsid w:val="00EE5F7B"/>
    <w:rsid w:val="00EF385D"/>
    <w:rsid w:val="00F00E3A"/>
    <w:rsid w:val="00F02461"/>
    <w:rsid w:val="00F07ECC"/>
    <w:rsid w:val="00F130F2"/>
    <w:rsid w:val="00F26798"/>
    <w:rsid w:val="00F323D2"/>
    <w:rsid w:val="00F336DE"/>
    <w:rsid w:val="00F370B1"/>
    <w:rsid w:val="00F415AD"/>
    <w:rsid w:val="00F45710"/>
    <w:rsid w:val="00F50AA2"/>
    <w:rsid w:val="00F542CC"/>
    <w:rsid w:val="00F54608"/>
    <w:rsid w:val="00F72004"/>
    <w:rsid w:val="00F73FAC"/>
    <w:rsid w:val="00F80529"/>
    <w:rsid w:val="00F80F27"/>
    <w:rsid w:val="00F83419"/>
    <w:rsid w:val="00F85C05"/>
    <w:rsid w:val="00F8667B"/>
    <w:rsid w:val="00F90792"/>
    <w:rsid w:val="00F946D9"/>
    <w:rsid w:val="00F95091"/>
    <w:rsid w:val="00F97321"/>
    <w:rsid w:val="00FA3BA8"/>
    <w:rsid w:val="00FA48F5"/>
    <w:rsid w:val="00FA4C73"/>
    <w:rsid w:val="00FA7762"/>
    <w:rsid w:val="00FB4BA4"/>
    <w:rsid w:val="00FC3F1D"/>
    <w:rsid w:val="00FC5ADB"/>
    <w:rsid w:val="00FC5EA3"/>
    <w:rsid w:val="00FD2DA0"/>
    <w:rsid w:val="00FD4C12"/>
    <w:rsid w:val="00FD670B"/>
    <w:rsid w:val="00FE502F"/>
    <w:rsid w:val="00FF6ACB"/>
    <w:rsid w:val="0100391D"/>
    <w:rsid w:val="01DD6756"/>
    <w:rsid w:val="021827F4"/>
    <w:rsid w:val="022F6EDE"/>
    <w:rsid w:val="028834B7"/>
    <w:rsid w:val="03182A8A"/>
    <w:rsid w:val="044860D1"/>
    <w:rsid w:val="0533650C"/>
    <w:rsid w:val="05F97445"/>
    <w:rsid w:val="068E2C71"/>
    <w:rsid w:val="06F07408"/>
    <w:rsid w:val="076A2EF3"/>
    <w:rsid w:val="08065CDB"/>
    <w:rsid w:val="084C6E2A"/>
    <w:rsid w:val="08D35F8C"/>
    <w:rsid w:val="09622D65"/>
    <w:rsid w:val="0968742A"/>
    <w:rsid w:val="0A120294"/>
    <w:rsid w:val="0A155A50"/>
    <w:rsid w:val="0AE22AD5"/>
    <w:rsid w:val="0BF97633"/>
    <w:rsid w:val="0EDB545C"/>
    <w:rsid w:val="0F070E9A"/>
    <w:rsid w:val="0F1928D2"/>
    <w:rsid w:val="0FDA72C4"/>
    <w:rsid w:val="108303C6"/>
    <w:rsid w:val="120A4786"/>
    <w:rsid w:val="12547B6E"/>
    <w:rsid w:val="14337C76"/>
    <w:rsid w:val="14EB3C8D"/>
    <w:rsid w:val="173A66D7"/>
    <w:rsid w:val="194339AC"/>
    <w:rsid w:val="1A5C4E83"/>
    <w:rsid w:val="1C663F34"/>
    <w:rsid w:val="1CA85021"/>
    <w:rsid w:val="1D011C6D"/>
    <w:rsid w:val="1E426B2B"/>
    <w:rsid w:val="1FAE53FE"/>
    <w:rsid w:val="20D81EB8"/>
    <w:rsid w:val="21255526"/>
    <w:rsid w:val="2245734A"/>
    <w:rsid w:val="234973D6"/>
    <w:rsid w:val="235A44AC"/>
    <w:rsid w:val="24363A33"/>
    <w:rsid w:val="245F2B05"/>
    <w:rsid w:val="24FA29AF"/>
    <w:rsid w:val="25FB6CA6"/>
    <w:rsid w:val="27517EAE"/>
    <w:rsid w:val="27CE033F"/>
    <w:rsid w:val="27F23FEB"/>
    <w:rsid w:val="28340418"/>
    <w:rsid w:val="288A0B0B"/>
    <w:rsid w:val="296A3E87"/>
    <w:rsid w:val="29787A73"/>
    <w:rsid w:val="29DE73D8"/>
    <w:rsid w:val="2A863508"/>
    <w:rsid w:val="2C265305"/>
    <w:rsid w:val="2CB14825"/>
    <w:rsid w:val="2EBE737A"/>
    <w:rsid w:val="2ECA3F51"/>
    <w:rsid w:val="2F6C7DF1"/>
    <w:rsid w:val="2F8F54F0"/>
    <w:rsid w:val="2FEC02F3"/>
    <w:rsid w:val="30DB086F"/>
    <w:rsid w:val="3167620E"/>
    <w:rsid w:val="32A25656"/>
    <w:rsid w:val="337563FB"/>
    <w:rsid w:val="358D6C28"/>
    <w:rsid w:val="35B641BA"/>
    <w:rsid w:val="378B04BC"/>
    <w:rsid w:val="38BF7F69"/>
    <w:rsid w:val="3A7E208B"/>
    <w:rsid w:val="3C010145"/>
    <w:rsid w:val="3CD60214"/>
    <w:rsid w:val="3D924CDB"/>
    <w:rsid w:val="3DD87835"/>
    <w:rsid w:val="3DDC7A31"/>
    <w:rsid w:val="3E671122"/>
    <w:rsid w:val="3EE43F2E"/>
    <w:rsid w:val="402D007C"/>
    <w:rsid w:val="41B95667"/>
    <w:rsid w:val="426516B2"/>
    <w:rsid w:val="433778B9"/>
    <w:rsid w:val="446C13E6"/>
    <w:rsid w:val="44F10D1F"/>
    <w:rsid w:val="46B45BB4"/>
    <w:rsid w:val="46FD74A8"/>
    <w:rsid w:val="473524CF"/>
    <w:rsid w:val="479529BB"/>
    <w:rsid w:val="47BB1590"/>
    <w:rsid w:val="47FF0F60"/>
    <w:rsid w:val="490D5124"/>
    <w:rsid w:val="4B26423C"/>
    <w:rsid w:val="4B837C53"/>
    <w:rsid w:val="4BE72CEE"/>
    <w:rsid w:val="4F28163F"/>
    <w:rsid w:val="50EC0A27"/>
    <w:rsid w:val="50F44223"/>
    <w:rsid w:val="51451E70"/>
    <w:rsid w:val="514F32F4"/>
    <w:rsid w:val="5258503F"/>
    <w:rsid w:val="53371D5D"/>
    <w:rsid w:val="53F05ABA"/>
    <w:rsid w:val="549E3177"/>
    <w:rsid w:val="55F246DE"/>
    <w:rsid w:val="56157044"/>
    <w:rsid w:val="561870FC"/>
    <w:rsid w:val="57870239"/>
    <w:rsid w:val="58086D1E"/>
    <w:rsid w:val="5A485891"/>
    <w:rsid w:val="5A4F537B"/>
    <w:rsid w:val="5C0154F4"/>
    <w:rsid w:val="5C370352"/>
    <w:rsid w:val="5C796EA8"/>
    <w:rsid w:val="5D050FD3"/>
    <w:rsid w:val="5F047C43"/>
    <w:rsid w:val="5F3A3136"/>
    <w:rsid w:val="5F627FC7"/>
    <w:rsid w:val="5FF3575B"/>
    <w:rsid w:val="60177B51"/>
    <w:rsid w:val="60EE473D"/>
    <w:rsid w:val="621A4130"/>
    <w:rsid w:val="62CE33B6"/>
    <w:rsid w:val="63D41995"/>
    <w:rsid w:val="64F702A2"/>
    <w:rsid w:val="666103B4"/>
    <w:rsid w:val="680C186A"/>
    <w:rsid w:val="68BC6818"/>
    <w:rsid w:val="6944665F"/>
    <w:rsid w:val="69B83E56"/>
    <w:rsid w:val="6A395116"/>
    <w:rsid w:val="6B7752B3"/>
    <w:rsid w:val="6B8528EE"/>
    <w:rsid w:val="6C05520A"/>
    <w:rsid w:val="6EAF1EF3"/>
    <w:rsid w:val="6F314859"/>
    <w:rsid w:val="717B5D67"/>
    <w:rsid w:val="73A75D21"/>
    <w:rsid w:val="7432040A"/>
    <w:rsid w:val="747B4ED8"/>
    <w:rsid w:val="74D16351"/>
    <w:rsid w:val="75A97796"/>
    <w:rsid w:val="75C574C8"/>
    <w:rsid w:val="76DE626A"/>
    <w:rsid w:val="76DF3219"/>
    <w:rsid w:val="77E350AB"/>
    <w:rsid w:val="77EC09DF"/>
    <w:rsid w:val="783A7338"/>
    <w:rsid w:val="784776E8"/>
    <w:rsid w:val="78C23363"/>
    <w:rsid w:val="78ED54D6"/>
    <w:rsid w:val="7AE61E49"/>
    <w:rsid w:val="7B13432C"/>
    <w:rsid w:val="7C3E099A"/>
    <w:rsid w:val="7CE237AC"/>
    <w:rsid w:val="7DEF3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6"/>
    <w:qFormat/>
    <w:uiPriority w:val="99"/>
    <w:rPr>
      <w:sz w:val="18"/>
      <w:szCs w:val="18"/>
    </w:rPr>
  </w:style>
  <w:style w:type="character" w:customStyle="1" w:styleId="11">
    <w:name w:val="页脚 字符"/>
    <w:basedOn w:val="8"/>
    <w:link w:val="5"/>
    <w:qFormat/>
    <w:uiPriority w:val="99"/>
    <w:rPr>
      <w:sz w:val="18"/>
      <w:szCs w:val="18"/>
    </w:rPr>
  </w:style>
  <w:style w:type="paragraph" w:styleId="12">
    <w:name w:val="List Paragraph"/>
    <w:basedOn w:val="1"/>
    <w:qFormat/>
    <w:uiPriority w:val="34"/>
    <w:pPr>
      <w:ind w:firstLine="420" w:firstLineChars="200"/>
    </w:pPr>
  </w:style>
  <w:style w:type="paragraph" w:styleId="13">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14">
    <w:name w:val="标题 1 字符"/>
    <w:basedOn w:val="8"/>
    <w:link w:val="2"/>
    <w:qFormat/>
    <w:uiPriority w:val="9"/>
    <w:rPr>
      <w:rFonts w:ascii="Times New Roman" w:hAnsi="Times New Roman" w:eastAsia="宋体" w:cs="Times New Roman"/>
      <w:b/>
      <w:bCs/>
      <w:kern w:val="44"/>
      <w:sz w:val="44"/>
      <w:szCs w:val="44"/>
    </w:rPr>
  </w:style>
  <w:style w:type="character" w:customStyle="1" w:styleId="15">
    <w:name w:val="未处理的提及1"/>
    <w:basedOn w:val="8"/>
    <w:semiHidden/>
    <w:unhideWhenUsed/>
    <w:qFormat/>
    <w:uiPriority w:val="99"/>
    <w:rPr>
      <w:color w:val="605E5C"/>
      <w:shd w:val="clear" w:color="auto" w:fill="E1DFDD"/>
    </w:rPr>
  </w:style>
  <w:style w:type="character" w:customStyle="1" w:styleId="16">
    <w:name w:val="标题 2 字符"/>
    <w:basedOn w:val="8"/>
    <w:link w:val="3"/>
    <w:qFormat/>
    <w:uiPriority w:val="9"/>
    <w:rPr>
      <w:rFonts w:asciiTheme="majorHAnsi" w:hAnsiTheme="majorHAnsi" w:eastAsiaTheme="majorEastAsia" w:cstheme="majorBidi"/>
      <w:b/>
      <w:bCs/>
      <w:kern w:val="2"/>
      <w:sz w:val="32"/>
      <w:szCs w:val="32"/>
    </w:rPr>
  </w:style>
  <w:style w:type="character" w:customStyle="1" w:styleId="17">
    <w:name w:val="标题 3 字符"/>
    <w:basedOn w:val="8"/>
    <w:link w:val="4"/>
    <w:qFormat/>
    <w:uiPriority w:val="9"/>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437</Words>
  <Characters>2497</Characters>
  <Lines>20</Lines>
  <Paragraphs>5</Paragraphs>
  <TotalTime>5</TotalTime>
  <ScaleCrop>false</ScaleCrop>
  <LinksUpToDate>false</LinksUpToDate>
  <CharactersWithSpaces>2929</CharactersWithSpaces>
  <Application>WPS Office_11.1.0.11220_F1E327BC-269C-435d-A152-05C5408002CA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2016-11-03T02:43:00Z</dcterms:created>
  <dc:creator>yk</dc:creator>
  <cp:lastModifiedBy>某年某月</cp:lastModifiedBy>
  <dcterms:modified xsi:type="dcterms:W3CDTF">2022-04-14T07:41:38Z</dcterms:modified>
  <cp:revision>230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19BFF31CBD554405BB0E8492BF351E7F</vt:lpwstr>
  </property>
</Properties>
</file>