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各疫苗生产企业：</w:t>
      </w:r>
    </w:p>
    <w:p>
      <w:pPr>
        <w:widowControl/>
        <w:ind w:firstLine="640" w:firstLineChars="20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根据企业提交的变更申请，对</w:t>
      </w:r>
      <w:r>
        <w:rPr>
          <w:rFonts w:hint="eastAsia" w:ascii="宋体" w:hAnsi="宋体"/>
          <w:sz w:val="32"/>
          <w:szCs w:val="32"/>
          <w:lang w:eastAsia="zh-CN"/>
        </w:rPr>
        <w:t>长春卓谊生物股份有限</w:t>
      </w:r>
      <w:r>
        <w:rPr>
          <w:rFonts w:hint="eastAsia" w:ascii="宋体" w:hAnsi="宋体"/>
          <w:sz w:val="32"/>
          <w:szCs w:val="32"/>
        </w:rPr>
        <w:t>公司的挂网信息进行调整，公示期3天，公示期内接受各方投诉</w:t>
      </w:r>
      <w:r>
        <w:rPr>
          <w:rFonts w:hint="eastAsia" w:ascii="宋体" w:hAnsi="宋体"/>
          <w:color w:val="000000"/>
          <w:sz w:val="32"/>
          <w:szCs w:val="32"/>
        </w:rPr>
        <w:t>质疑。</w:t>
      </w:r>
    </w:p>
    <w:p>
      <w:pPr>
        <w:ind w:firstLine="640" w:firstLineChars="200"/>
        <w:rPr>
          <w:rFonts w:ascii="宋体" w:hAnsi="宋体"/>
          <w:color w:val="000000"/>
          <w:sz w:val="32"/>
          <w:szCs w:val="32"/>
        </w:rPr>
      </w:pPr>
      <w:r>
        <w:rPr>
          <w:rFonts w:hint="eastAsia" w:ascii="宋体" w:hAnsi="宋体"/>
          <w:color w:val="000000"/>
          <w:sz w:val="32"/>
          <w:szCs w:val="32"/>
        </w:rPr>
        <w:t>特此通知！</w:t>
      </w:r>
    </w:p>
    <w:p>
      <w:pPr>
        <w:rPr>
          <w:rFonts w:ascii="宋体" w:hAnsi="宋体"/>
          <w:sz w:val="32"/>
          <w:szCs w:val="32"/>
        </w:rPr>
      </w:pPr>
    </w:p>
    <w:p>
      <w:pPr>
        <w:rPr>
          <w:rFonts w:ascii="宋体" w:hAnsi="宋体"/>
          <w:sz w:val="32"/>
          <w:szCs w:val="32"/>
        </w:rPr>
      </w:pPr>
    </w:p>
    <w:p>
      <w:pPr>
        <w:rPr>
          <w:rFonts w:ascii="宋体" w:hAnsi="宋体"/>
          <w:sz w:val="32"/>
          <w:szCs w:val="32"/>
        </w:rPr>
      </w:pPr>
    </w:p>
    <w:p>
      <w:pPr>
        <w:rPr>
          <w:rFonts w:ascii="宋体" w:hAnsi="宋体"/>
          <w:sz w:val="32"/>
          <w:szCs w:val="32"/>
        </w:rPr>
      </w:pPr>
    </w:p>
    <w:p>
      <w:pPr>
        <w:rPr>
          <w:rFonts w:ascii="宋体" w:hAnsi="宋体"/>
          <w:sz w:val="32"/>
          <w:szCs w:val="32"/>
        </w:rPr>
      </w:pPr>
    </w:p>
    <w:p>
      <w:pPr>
        <w:rPr>
          <w:rFonts w:ascii="宋体" w:hAnsi="宋体"/>
          <w:sz w:val="32"/>
          <w:szCs w:val="32"/>
        </w:rPr>
      </w:pPr>
    </w:p>
    <w:p>
      <w:pPr>
        <w:rPr>
          <w:rFonts w:ascii="宋体" w:hAnsi="宋体"/>
          <w:sz w:val="32"/>
          <w:szCs w:val="32"/>
        </w:rPr>
      </w:pPr>
    </w:p>
    <w:p>
      <w:pPr>
        <w:ind w:left="11332" w:leftChars="5244" w:hanging="320" w:hangingChars="10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省公共资源交易中心</w:t>
      </w:r>
      <w:r>
        <w:rPr>
          <w:rFonts w:ascii="宋体" w:hAnsi="宋体"/>
          <w:sz w:val="32"/>
          <w:szCs w:val="32"/>
        </w:rPr>
        <w:t>201</w:t>
      </w:r>
      <w:r>
        <w:rPr>
          <w:rFonts w:hint="eastAsia" w:ascii="宋体" w:hAnsi="宋体"/>
          <w:sz w:val="32"/>
          <w:szCs w:val="32"/>
        </w:rPr>
        <w:t>8</w:t>
      </w:r>
      <w:r>
        <w:rPr>
          <w:rFonts w:ascii="宋体" w:hAnsi="宋体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  <w:lang w:val="en-US" w:eastAsia="zh-CN"/>
        </w:rPr>
        <w:t>6</w:t>
      </w:r>
      <w:r>
        <w:rPr>
          <w:rFonts w:ascii="宋体" w:hAnsi="宋体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  <w:lang w:val="en-US" w:eastAsia="zh-CN"/>
        </w:rPr>
        <w:t>21</w:t>
      </w:r>
      <w:r>
        <w:rPr>
          <w:rFonts w:ascii="宋体" w:hAnsi="宋体"/>
          <w:sz w:val="32"/>
          <w:szCs w:val="32"/>
        </w:rPr>
        <w:t>日</w:t>
      </w:r>
    </w:p>
    <w:p>
      <w:pPr>
        <w:ind w:left="11332" w:leftChars="5244" w:hanging="320" w:hangingChars="100"/>
        <w:rPr>
          <w:rFonts w:ascii="宋体" w:hAnsi="宋体"/>
          <w:sz w:val="32"/>
          <w:szCs w:val="32"/>
        </w:rPr>
      </w:pPr>
    </w:p>
    <w:tbl>
      <w:tblPr>
        <w:tblStyle w:val="12"/>
        <w:tblW w:w="140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"/>
        <w:gridCol w:w="1299"/>
        <w:gridCol w:w="740"/>
        <w:gridCol w:w="1231"/>
        <w:gridCol w:w="735"/>
        <w:gridCol w:w="567"/>
        <w:gridCol w:w="1198"/>
        <w:gridCol w:w="1942"/>
        <w:gridCol w:w="1231"/>
        <w:gridCol w:w="986"/>
        <w:gridCol w:w="32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流水号</w:t>
            </w:r>
          </w:p>
        </w:tc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  <w:p>
            <w:r>
              <w:rPr>
                <w:rFonts w:hint="eastAsia"/>
              </w:rPr>
              <w:t>实际通用名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  <w:p>
            <w:r>
              <w:rPr>
                <w:rFonts w:hint="eastAsia"/>
              </w:rPr>
              <w:t>实际剂型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  <w:p>
            <w:r>
              <w:rPr>
                <w:rFonts w:hint="eastAsia"/>
              </w:rPr>
              <w:t>实际规格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  <w:p>
            <w:r>
              <w:rPr>
                <w:rFonts w:hint="eastAsia"/>
              </w:rPr>
              <w:t>转换系数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  <w:p>
            <w:r>
              <w:rPr>
                <w:rFonts w:hint="eastAsia"/>
              </w:rPr>
              <w:t>包装单位</w:t>
            </w: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  <w:p>
            <w:r>
              <w:rPr>
                <w:rFonts w:hint="eastAsia"/>
              </w:rPr>
              <w:t>申报企业注册号</w:t>
            </w:r>
          </w:p>
        </w:tc>
        <w:tc>
          <w:tcPr>
            <w:tcW w:w="1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  <w:p>
            <w:r>
              <w:rPr>
                <w:rFonts w:hint="eastAsia"/>
              </w:rPr>
              <w:t>申报企业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  <w:p>
            <w:r>
              <w:rPr>
                <w:rFonts w:hint="eastAsia"/>
              </w:rPr>
              <w:t>生产企业注册号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  <w:p>
            <w:r>
              <w:rPr>
                <w:rFonts w:hint="eastAsia"/>
              </w:rPr>
              <w:t>生产企业</w:t>
            </w:r>
          </w:p>
        </w:tc>
        <w:tc>
          <w:tcPr>
            <w:tcW w:w="3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调整情况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7" w:hRule="atLeast"/>
        </w:trPr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87</w:t>
            </w:r>
          </w:p>
        </w:tc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5"/>
              <w:jc w:val="center"/>
            </w:pPr>
            <w:r>
              <w:t>窗体顶端</w:t>
            </w:r>
          </w:p>
          <w:p>
            <w:pPr>
              <w:pStyle w:val="27"/>
              <w:jc w:val="center"/>
            </w:pPr>
            <w:r>
              <w:t>窗体顶端</w:t>
            </w: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冻干人用狂犬病疫苗（Vero细胞）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jc w:val="center"/>
            </w:pPr>
            <w:r>
              <w:t>窗体顶端</w:t>
            </w:r>
          </w:p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冻干粉针剂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  <w:r>
              <w:rPr>
                <w:rFonts w:hint="eastAsia"/>
                <w:lang w:eastAsia="zh-CN"/>
              </w:rPr>
              <w:t>.</w:t>
            </w:r>
            <w:r>
              <w:rPr>
                <w:rFonts w:hint="eastAsia"/>
                <w:lang w:val="en-US" w:eastAsia="zh-CN"/>
              </w:rPr>
              <w:t>5</w:t>
            </w:r>
            <w:r>
              <w:rPr>
                <w:rFonts w:hint="eastAsia"/>
                <w:lang w:eastAsia="zh-CN"/>
              </w:rPr>
              <w:t>ml</w:t>
            </w:r>
            <w:r>
              <w:rPr>
                <w:rFonts w:hint="eastAsia"/>
                <w:lang w:val="en-US" w:eastAsia="zh-CN"/>
              </w:rPr>
              <w:t>/瓶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盒</w:t>
            </w: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YMS0031</w:t>
            </w:r>
          </w:p>
        </w:tc>
        <w:tc>
          <w:tcPr>
            <w:tcW w:w="1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长春卓谊生物股份有限</w:t>
            </w:r>
            <w:r>
              <w:rPr>
                <w:rFonts w:hint="eastAsia"/>
              </w:rPr>
              <w:t>公司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YMS00</w:t>
            </w:r>
            <w:r>
              <w:rPr>
                <w:rFonts w:hint="eastAsia"/>
                <w:lang w:val="en-US" w:eastAsia="zh-CN"/>
              </w:rPr>
              <w:t>31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长春卫尔赛生物药业有限公司</w:t>
            </w:r>
          </w:p>
        </w:tc>
        <w:tc>
          <w:tcPr>
            <w:tcW w:w="3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生产企业名称变更，变更后为长春卓谊生物股份有限</w:t>
            </w:r>
            <w:r>
              <w:rPr>
                <w:rFonts w:hint="eastAsia"/>
              </w:rPr>
              <w:t>公司</w:t>
            </w:r>
            <w:r>
              <w:rPr>
                <w:rFonts w:hint="eastAsia"/>
                <w:lang w:eastAsia="zh-CN"/>
              </w:rPr>
              <w:t>YMS00</w:t>
            </w:r>
            <w:r>
              <w:rPr>
                <w:rFonts w:hint="eastAsia"/>
                <w:lang w:val="en-US" w:eastAsia="zh-CN"/>
              </w:rPr>
              <w:t>31</w:t>
            </w:r>
            <w:r>
              <w:rPr>
                <w:rFonts w:hint="eastAsia"/>
                <w:lang w:eastAsia="zh-CN"/>
              </w:rPr>
              <w:t>），其他不变</w:t>
            </w:r>
          </w:p>
        </w:tc>
      </w:tr>
    </w:tbl>
    <w:p>
      <w:pPr>
        <w:rPr>
          <w:rFonts w:ascii="宋体" w:hAnsi="宋体"/>
          <w:sz w:val="32"/>
          <w:szCs w:val="32"/>
        </w:rPr>
      </w:pPr>
    </w:p>
    <w:tbl>
      <w:tblPr>
        <w:tblStyle w:val="12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7"/>
        <w:gridCol w:w="70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7087" w:type="dxa"/>
            <w:vAlign w:val="center"/>
          </w:tcPr>
          <w:p>
            <w:pPr>
              <w:widowControl/>
              <w:shd w:val="clear" w:color="auto" w:fill="FFFFFF"/>
              <w:spacing w:before="15" w:after="75"/>
              <w:ind w:left="-225" w:right="-225"/>
              <w:jc w:val="center"/>
              <w:rPr>
                <w:rFonts w:ascii="宋体" w:hAnsi="宋体" w:cs="宋体"/>
                <w:color w:val="333333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shd w:val="clear" w:color="auto" w:fill="FFFFFF"/>
                <w:lang w:bidi="ar"/>
              </w:rPr>
              <w:t>原企业名称</w:t>
            </w:r>
          </w:p>
        </w:tc>
        <w:tc>
          <w:tcPr>
            <w:tcW w:w="7087" w:type="dxa"/>
            <w:vAlign w:val="center"/>
          </w:tcPr>
          <w:p>
            <w:pPr>
              <w:widowControl/>
              <w:shd w:val="clear" w:color="auto" w:fill="FFFFFF"/>
              <w:spacing w:before="15" w:after="75"/>
              <w:ind w:left="-225" w:right="-225"/>
              <w:jc w:val="center"/>
              <w:rPr>
                <w:rFonts w:ascii="宋体" w:hAnsi="宋体" w:cs="宋体"/>
                <w:color w:val="333333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shd w:val="clear" w:color="auto" w:fill="FFFFFF"/>
                <w:lang w:bidi="ar"/>
              </w:rPr>
              <w:t>变更后企业名称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7087" w:type="dxa"/>
            <w:vAlign w:val="center"/>
          </w:tcPr>
          <w:p>
            <w:pPr>
              <w:widowControl/>
              <w:shd w:val="clear" w:color="auto" w:fill="FFFFFF"/>
              <w:spacing w:before="15" w:after="75"/>
              <w:ind w:left="-225" w:right="-225"/>
              <w:jc w:val="center"/>
              <w:rPr>
                <w:rFonts w:ascii="宋体" w:hAnsi="宋体" w:cs="宋体"/>
                <w:color w:val="333333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/>
                <w:lang w:val="en-US" w:eastAsia="zh-CN"/>
              </w:rPr>
              <w:t>长春卫尔赛生物药业有限公司</w:t>
            </w:r>
          </w:p>
        </w:tc>
        <w:tc>
          <w:tcPr>
            <w:tcW w:w="7087" w:type="dxa"/>
            <w:vAlign w:val="center"/>
          </w:tcPr>
          <w:p>
            <w:pPr>
              <w:widowControl/>
              <w:shd w:val="clear" w:color="auto" w:fill="FFFFFF"/>
              <w:spacing w:before="15" w:after="75"/>
              <w:ind w:left="-225" w:right="-225"/>
              <w:jc w:val="center"/>
              <w:rPr>
                <w:rFonts w:ascii="宋体" w:hAnsi="宋体" w:cs="宋体"/>
                <w:color w:val="333333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/>
                <w:lang w:eastAsia="zh-CN"/>
              </w:rPr>
              <w:t>长春卓谊生物股份有限</w:t>
            </w:r>
            <w:r>
              <w:rPr>
                <w:rFonts w:hint="eastAsia"/>
              </w:rPr>
              <w:t>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7087" w:type="dxa"/>
            <w:vAlign w:val="center"/>
          </w:tcPr>
          <w:p>
            <w:pPr>
              <w:widowControl/>
              <w:shd w:val="clear" w:color="auto" w:fill="FFFFFF"/>
              <w:spacing w:before="15" w:after="75"/>
              <w:ind w:left="-225" w:right="-225"/>
              <w:jc w:val="center"/>
              <w:rPr>
                <w:rFonts w:ascii="宋体" w:hAnsi="宋体" w:cs="宋体"/>
                <w:color w:val="333333"/>
                <w:kern w:val="0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7087" w:type="dxa"/>
            <w:vAlign w:val="center"/>
          </w:tcPr>
          <w:p>
            <w:pPr>
              <w:widowControl/>
              <w:shd w:val="clear" w:color="auto" w:fill="FFFFFF"/>
              <w:spacing w:before="15" w:after="75"/>
              <w:ind w:left="-225" w:right="-225"/>
              <w:jc w:val="center"/>
              <w:rPr>
                <w:rFonts w:ascii="宋体" w:hAnsi="宋体" w:cs="宋体"/>
                <w:color w:val="333333"/>
                <w:kern w:val="0"/>
                <w:szCs w:val="21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7087" w:type="dxa"/>
            <w:vAlign w:val="center"/>
          </w:tcPr>
          <w:p>
            <w:pPr>
              <w:widowControl/>
              <w:shd w:val="clear" w:color="auto" w:fill="FFFFFF"/>
              <w:spacing w:before="15" w:after="75"/>
              <w:ind w:left="-225" w:right="-225"/>
              <w:jc w:val="center"/>
              <w:rPr>
                <w:rFonts w:ascii="宋体" w:hAnsi="宋体" w:cs="宋体"/>
                <w:color w:val="333333"/>
                <w:kern w:val="0"/>
                <w:szCs w:val="21"/>
                <w:shd w:val="clear" w:color="auto" w:fill="FFFFFF"/>
                <w:lang w:bidi="ar"/>
              </w:rPr>
            </w:pPr>
            <w:bookmarkStart w:id="0" w:name="_GoBack"/>
            <w:bookmarkEnd w:id="0"/>
          </w:p>
        </w:tc>
        <w:tc>
          <w:tcPr>
            <w:tcW w:w="7087" w:type="dxa"/>
            <w:vAlign w:val="center"/>
          </w:tcPr>
          <w:p>
            <w:pPr>
              <w:widowControl/>
              <w:shd w:val="clear" w:color="auto" w:fill="FFFFFF"/>
              <w:spacing w:before="15" w:after="75"/>
              <w:ind w:left="-225" w:right="-225"/>
              <w:jc w:val="center"/>
              <w:rPr>
                <w:rFonts w:ascii="宋体" w:hAnsi="宋体" w:cs="宋体"/>
                <w:color w:val="333333"/>
                <w:kern w:val="0"/>
                <w:szCs w:val="21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7087" w:type="dxa"/>
            <w:vAlign w:val="center"/>
          </w:tcPr>
          <w:p>
            <w:pPr>
              <w:widowControl/>
              <w:shd w:val="clear" w:color="auto" w:fill="FFFFFF"/>
              <w:spacing w:before="15" w:after="75"/>
              <w:ind w:left="-225" w:right="-225"/>
              <w:jc w:val="center"/>
              <w:rPr>
                <w:rFonts w:ascii="宋体" w:hAnsi="宋体" w:cs="宋体"/>
                <w:color w:val="333333"/>
                <w:kern w:val="0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7087" w:type="dxa"/>
            <w:vAlign w:val="center"/>
          </w:tcPr>
          <w:p>
            <w:pPr>
              <w:widowControl/>
              <w:shd w:val="clear" w:color="auto" w:fill="FFFFFF"/>
              <w:spacing w:before="15" w:after="75"/>
              <w:ind w:left="-225" w:right="-225"/>
              <w:jc w:val="center"/>
              <w:rPr>
                <w:rFonts w:ascii="宋体" w:hAnsi="宋体" w:cs="宋体"/>
                <w:color w:val="333333"/>
                <w:kern w:val="0"/>
                <w:szCs w:val="21"/>
                <w:shd w:val="clear" w:color="auto" w:fill="FFFFFF"/>
                <w:lang w:bidi="ar"/>
              </w:rPr>
            </w:pPr>
          </w:p>
        </w:tc>
      </w:tr>
    </w:tbl>
    <w:p>
      <w:pPr>
        <w:rPr>
          <w:b/>
          <w:szCs w:val="21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E7F16"/>
    <w:rsid w:val="0008758F"/>
    <w:rsid w:val="001A651D"/>
    <w:rsid w:val="00342150"/>
    <w:rsid w:val="0036309C"/>
    <w:rsid w:val="003646D2"/>
    <w:rsid w:val="00377205"/>
    <w:rsid w:val="003968D4"/>
    <w:rsid w:val="003D40E5"/>
    <w:rsid w:val="00460B71"/>
    <w:rsid w:val="004969C4"/>
    <w:rsid w:val="004D2142"/>
    <w:rsid w:val="0055409B"/>
    <w:rsid w:val="00567FFA"/>
    <w:rsid w:val="005B70DE"/>
    <w:rsid w:val="00611712"/>
    <w:rsid w:val="00627DC5"/>
    <w:rsid w:val="006349A4"/>
    <w:rsid w:val="006862DD"/>
    <w:rsid w:val="006B16FE"/>
    <w:rsid w:val="006F5C6B"/>
    <w:rsid w:val="0071593A"/>
    <w:rsid w:val="00745F5C"/>
    <w:rsid w:val="00765C6C"/>
    <w:rsid w:val="00812BAF"/>
    <w:rsid w:val="00830AF5"/>
    <w:rsid w:val="008C7595"/>
    <w:rsid w:val="008F1AD7"/>
    <w:rsid w:val="008F2AB6"/>
    <w:rsid w:val="009155AE"/>
    <w:rsid w:val="009E7F16"/>
    <w:rsid w:val="00A207F0"/>
    <w:rsid w:val="00A358F4"/>
    <w:rsid w:val="00A649BA"/>
    <w:rsid w:val="00B77732"/>
    <w:rsid w:val="00BA4B9A"/>
    <w:rsid w:val="00C45FC2"/>
    <w:rsid w:val="00C950B0"/>
    <w:rsid w:val="00CD45C7"/>
    <w:rsid w:val="00DE09E1"/>
    <w:rsid w:val="00E1651E"/>
    <w:rsid w:val="00E672A3"/>
    <w:rsid w:val="00E87416"/>
    <w:rsid w:val="00EC5D3D"/>
    <w:rsid w:val="00ED539D"/>
    <w:rsid w:val="00ED6D18"/>
    <w:rsid w:val="00EE6698"/>
    <w:rsid w:val="00F46CD2"/>
    <w:rsid w:val="00F57BBF"/>
    <w:rsid w:val="00F84ED2"/>
    <w:rsid w:val="00F86286"/>
    <w:rsid w:val="00F91929"/>
    <w:rsid w:val="00F9619F"/>
    <w:rsid w:val="00FC3959"/>
    <w:rsid w:val="157D1369"/>
    <w:rsid w:val="2EA542EB"/>
    <w:rsid w:val="399A6DD6"/>
    <w:rsid w:val="4F7A00C4"/>
    <w:rsid w:val="61A5403F"/>
    <w:rsid w:val="68D817D6"/>
    <w:rsid w:val="759B0FA7"/>
    <w:rsid w:val="7635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"/>
    <w:lsdException w:unhideWhenUsed="0" w:uiPriority="0" w:semiHidden="0" w:name=""/>
    <w:lsdException w:uiPriority="99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4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5">
    <w:name w:val="Strong"/>
    <w:basedOn w:val="4"/>
    <w:qFormat/>
    <w:uiPriority w:val="22"/>
    <w:rPr>
      <w:b/>
      <w:color w:val="555555"/>
      <w:sz w:val="21"/>
      <w:szCs w:val="21"/>
      <w:bdr w:val="single" w:color="CCCCCC" w:sz="6" w:space="0"/>
      <w:shd w:val="clear" w:fill="EEEEEE"/>
    </w:rPr>
  </w:style>
  <w:style w:type="character" w:styleId="6">
    <w:name w:val="FollowedHyperlink"/>
    <w:basedOn w:val="4"/>
    <w:semiHidden/>
    <w:unhideWhenUsed/>
    <w:qFormat/>
    <w:uiPriority w:val="99"/>
    <w:rPr>
      <w:color w:val="3C8DBC"/>
      <w:u w:val="none"/>
    </w:rPr>
  </w:style>
  <w:style w:type="character" w:styleId="7">
    <w:name w:val="HTML Definition"/>
    <w:basedOn w:val="4"/>
    <w:semiHidden/>
    <w:unhideWhenUsed/>
    <w:qFormat/>
    <w:uiPriority w:val="99"/>
    <w:rPr>
      <w:i/>
    </w:rPr>
  </w:style>
  <w:style w:type="character" w:styleId="8">
    <w:name w:val="Hyperlink"/>
    <w:basedOn w:val="4"/>
    <w:semiHidden/>
    <w:unhideWhenUsed/>
    <w:qFormat/>
    <w:uiPriority w:val="99"/>
    <w:rPr>
      <w:color w:val="3C8DBC"/>
      <w:u w:val="none"/>
    </w:rPr>
  </w:style>
  <w:style w:type="character" w:styleId="9">
    <w:name w:val="HTML Code"/>
    <w:basedOn w:val="4"/>
    <w:semiHidden/>
    <w:unhideWhenUsed/>
    <w:qFormat/>
    <w:uiPriority w:val="99"/>
    <w:rPr>
      <w:rFonts w:ascii="Consolas" w:hAnsi="Consolas" w:eastAsia="Consolas" w:cs="Consolas"/>
      <w:color w:val="C7254E"/>
      <w:sz w:val="21"/>
      <w:szCs w:val="21"/>
      <w:shd w:val="clear" w:fill="F9F2F4"/>
    </w:rPr>
  </w:style>
  <w:style w:type="character" w:styleId="10">
    <w:name w:val="HTML Keyboard"/>
    <w:basedOn w:val="4"/>
    <w:semiHidden/>
    <w:unhideWhenUsed/>
    <w:qFormat/>
    <w:uiPriority w:val="99"/>
    <w:rPr>
      <w:rFonts w:hint="default" w:ascii="Consolas" w:hAnsi="Consolas" w:eastAsia="Consolas" w:cs="Consolas"/>
      <w:color w:val="FFFFFF"/>
      <w:sz w:val="21"/>
      <w:szCs w:val="21"/>
      <w:shd w:val="clear" w:fill="333333"/>
    </w:rPr>
  </w:style>
  <w:style w:type="character" w:styleId="11">
    <w:name w:val="HTML Sample"/>
    <w:basedOn w:val="4"/>
    <w:semiHidden/>
    <w:unhideWhenUsed/>
    <w:qFormat/>
    <w:uiPriority w:val="99"/>
    <w:rPr>
      <w:rFonts w:hint="default" w:ascii="Consolas" w:hAnsi="Consolas" w:eastAsia="Consolas" w:cs="Consolas"/>
      <w:sz w:val="21"/>
      <w:szCs w:val="21"/>
    </w:rPr>
  </w:style>
  <w:style w:type="character" w:customStyle="1" w:styleId="13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4"/>
    <w:link w:val="2"/>
    <w:semiHidden/>
    <w:qFormat/>
    <w:uiPriority w:val="99"/>
    <w:rPr>
      <w:sz w:val="18"/>
      <w:szCs w:val="18"/>
    </w:rPr>
  </w:style>
  <w:style w:type="character" w:customStyle="1" w:styleId="15">
    <w:name w:val="ui-jqgrid-resize"/>
    <w:basedOn w:val="4"/>
    <w:qFormat/>
    <w:uiPriority w:val="0"/>
  </w:style>
  <w:style w:type="character" w:customStyle="1" w:styleId="16">
    <w:name w:val="new"/>
    <w:basedOn w:val="4"/>
    <w:qFormat/>
    <w:uiPriority w:val="0"/>
    <w:rPr>
      <w:color w:val="444444"/>
    </w:rPr>
  </w:style>
  <w:style w:type="character" w:customStyle="1" w:styleId="17">
    <w:name w:val="hover10"/>
    <w:basedOn w:val="4"/>
    <w:qFormat/>
    <w:uiPriority w:val="0"/>
  </w:style>
  <w:style w:type="character" w:customStyle="1" w:styleId="18">
    <w:name w:val="old"/>
    <w:basedOn w:val="4"/>
    <w:qFormat/>
    <w:uiPriority w:val="0"/>
    <w:rPr>
      <w:color w:val="444444"/>
    </w:rPr>
  </w:style>
  <w:style w:type="character" w:customStyle="1" w:styleId="19">
    <w:name w:val="ui-icon26"/>
    <w:basedOn w:val="4"/>
    <w:qFormat/>
    <w:uiPriority w:val="0"/>
  </w:style>
  <w:style w:type="character" w:customStyle="1" w:styleId="20">
    <w:name w:val="ui-icon27"/>
    <w:basedOn w:val="4"/>
    <w:qFormat/>
    <w:uiPriority w:val="0"/>
  </w:style>
  <w:style w:type="character" w:customStyle="1" w:styleId="21">
    <w:name w:val="hover5"/>
    <w:basedOn w:val="4"/>
    <w:qFormat/>
    <w:uiPriority w:val="0"/>
  </w:style>
  <w:style w:type="paragraph" w:customStyle="1" w:styleId="22">
    <w:name w:val="_Style 2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3">
    <w:name w:val="_Style 2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4">
    <w:name w:val="hover4"/>
    <w:basedOn w:val="4"/>
    <w:qFormat/>
    <w:uiPriority w:val="0"/>
  </w:style>
  <w:style w:type="paragraph" w:customStyle="1" w:styleId="25">
    <w:name w:val="_Style 2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6">
    <w:name w:val="_Style 2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27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28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9">
    <w:name w:val="ui-icon"/>
    <w:basedOn w:val="4"/>
    <w:uiPriority w:val="0"/>
  </w:style>
  <w:style w:type="character" w:customStyle="1" w:styleId="30">
    <w:name w:val="ui-icon1"/>
    <w:basedOn w:val="4"/>
    <w:uiPriority w:val="0"/>
  </w:style>
  <w:style w:type="character" w:customStyle="1" w:styleId="31">
    <w:name w:val="hover9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71</Words>
  <Characters>408</Characters>
  <Lines>3</Lines>
  <Paragraphs>1</Paragraphs>
  <TotalTime>3</TotalTime>
  <ScaleCrop>false</ScaleCrop>
  <LinksUpToDate>false</LinksUpToDate>
  <CharactersWithSpaces>478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2018-01-26T02:57:00Z</dcterms:created>
  <dc:creator>桂丁</dc:creator>
  <cp:lastModifiedBy>晨星</cp:lastModifiedBy>
  <cp:lastPrinted>2018-03-28T07:29:00Z</cp:lastPrinted>
  <dcterms:modified xsi:type="dcterms:W3CDTF">2018-06-20T01:39:52Z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