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210" w:leftChars="100"/>
        <w:jc w:val="center"/>
        <w:rPr>
          <w:rFonts w:ascii="宋体" w:hAnsi="宋体" w:cs="Batang"/>
          <w:b/>
          <w:sz w:val="44"/>
          <w:szCs w:val="44"/>
        </w:rPr>
      </w:pPr>
      <w:r>
        <w:rPr>
          <w:rFonts w:hint="eastAsia" w:ascii="宋体" w:hAnsi="宋体" w:cs="Arial"/>
          <w:b/>
          <w:sz w:val="44"/>
          <w:szCs w:val="44"/>
        </w:rPr>
        <w:t>湖北省药品集中采购系统</w:t>
      </w:r>
    </w:p>
    <w:p>
      <w:pPr>
        <w:ind w:left="210" w:leftChars="100"/>
        <w:jc w:val="center"/>
        <w:rPr>
          <w:rFonts w:ascii="宋体" w:hAnsi="宋体" w:cs="宋体"/>
          <w:b/>
          <w:sz w:val="44"/>
          <w:szCs w:val="44"/>
        </w:rPr>
      </w:pPr>
      <w:r>
        <w:rPr>
          <w:rFonts w:hint="eastAsia" w:ascii="宋体" w:hAnsi="宋体" w:cs="Batang"/>
          <w:b/>
          <w:sz w:val="44"/>
          <w:szCs w:val="44"/>
        </w:rPr>
        <w:t>议价</w:t>
      </w:r>
      <w:r>
        <w:rPr>
          <w:rFonts w:hint="eastAsia"/>
          <w:b/>
          <w:sz w:val="44"/>
          <w:szCs w:val="44"/>
        </w:rPr>
        <w:t>操作</w:t>
      </w:r>
      <w:r>
        <w:rPr>
          <w:b/>
          <w:sz w:val="44"/>
          <w:szCs w:val="44"/>
        </w:rPr>
        <w:t>手册</w:t>
      </w:r>
    </w:p>
    <w:p>
      <w:pPr>
        <w:ind w:left="210" w:leftChars="100"/>
        <w:jc w:val="center"/>
        <w:rPr>
          <w:b/>
          <w:sz w:val="44"/>
          <w:szCs w:val="44"/>
        </w:rPr>
      </w:pPr>
    </w:p>
    <w:p>
      <w:pPr>
        <w:ind w:left="210" w:leftChars="100"/>
        <w:jc w:val="left"/>
        <w:rPr>
          <w:b/>
          <w:szCs w:val="21"/>
          <w:u w:val="single"/>
        </w:rPr>
      </w:pPr>
      <w:r>
        <w:rPr>
          <w:rFonts w:hint="eastAsia"/>
          <w:b/>
          <w:szCs w:val="21"/>
          <w:highlight w:val="yellow"/>
          <w:u w:val="single"/>
        </w:rPr>
        <w:t>温馨提示</w:t>
      </w:r>
      <w:r>
        <w:rPr>
          <w:b/>
          <w:szCs w:val="21"/>
          <w:highlight w:val="yellow"/>
          <w:u w:val="single"/>
        </w:rPr>
        <w:t>：</w:t>
      </w:r>
      <w:r>
        <w:rPr>
          <w:rFonts w:hint="eastAsia" w:ascii="微软雅黑" w:hAnsi="微软雅黑" w:eastAsia="微软雅黑"/>
          <w:color w:val="000000"/>
          <w:szCs w:val="21"/>
          <w:highlight w:val="yellow"/>
          <w:u w:val="single"/>
          <w:shd w:val="clear" w:color="auto" w:fill="FFEDC4"/>
        </w:rPr>
        <w:t>系统目前支持</w:t>
      </w:r>
      <w:r>
        <w:rPr>
          <w:rFonts w:hint="eastAsia" w:ascii="微软雅黑" w:hAnsi="微软雅黑" w:eastAsia="微软雅黑"/>
          <w:color w:val="000000"/>
          <w:szCs w:val="21"/>
          <w:highlight w:val="yellow"/>
          <w:u w:val="single"/>
          <w:shd w:val="clear" w:color="auto" w:fill="FFFF00"/>
        </w:rPr>
        <w:t>ie9</w:t>
      </w:r>
      <w:r>
        <w:rPr>
          <w:rFonts w:hint="eastAsia" w:ascii="微软雅黑" w:hAnsi="微软雅黑" w:eastAsia="微软雅黑"/>
          <w:color w:val="000000"/>
          <w:szCs w:val="21"/>
          <w:highlight w:val="yellow"/>
          <w:u w:val="single"/>
          <w:shd w:val="clear" w:color="auto" w:fill="FFEDC4"/>
        </w:rPr>
        <w:t>及以上、火狐、搜狗、谷歌 、360极速模式、QQ等主流浏览器，如果出现系统不能点的情况，可以换个浏览器试一下   建议用火狐或者谷歌，安全性和兼容性相对较好</w:t>
      </w:r>
      <w:r>
        <w:rPr>
          <w:rFonts w:hint="eastAsia"/>
          <w:b/>
          <w:szCs w:val="21"/>
          <w:highlight w:val="yellow"/>
          <w:u w:val="single"/>
        </w:rPr>
        <w:t>。</w:t>
      </w:r>
    </w:p>
    <w:p>
      <w:pPr>
        <w:pStyle w:val="3"/>
      </w:pPr>
      <w:r>
        <w:rPr>
          <w:rFonts w:hint="eastAsia"/>
        </w:rPr>
        <w:t>医疗机构议价</w:t>
      </w:r>
      <w:r>
        <w:t>管理</w:t>
      </w:r>
    </w:p>
    <w:p>
      <w:pPr>
        <w:ind w:left="840" w:hanging="843" w:hangingChars="300"/>
        <w:rPr>
          <w:rFonts w:hint="eastAsia" w:ascii="Times New Roman" w:hAnsi="Times New Roman" w:eastAsia="宋体" w:cs="Times New Roman"/>
          <w:color w:val="FF0000"/>
          <w:kern w:val="2"/>
          <w:sz w:val="28"/>
          <w:szCs w:val="28"/>
          <w:lang w:val="en-US" w:eastAsia="zh-CN" w:bidi="ar-SA"/>
        </w:rPr>
      </w:pPr>
      <w:r>
        <w:rPr>
          <w:rFonts w:hint="eastAsia" w:ascii="Times New Roman" w:hAnsi="Times New Roman" w:eastAsia="宋体" w:cs="Times New Roman"/>
          <w:b/>
          <w:bCs/>
          <w:kern w:val="2"/>
          <w:sz w:val="28"/>
          <w:szCs w:val="28"/>
          <w:lang w:val="en-US" w:eastAsia="zh-CN" w:bidi="ar-SA"/>
        </w:rPr>
        <w:t>前提：</w:t>
      </w:r>
      <w:r>
        <w:rPr>
          <w:rFonts w:hint="eastAsia" w:ascii="Times New Roman" w:hAnsi="Times New Roman" w:eastAsia="宋体" w:cs="Times New Roman"/>
          <w:color w:val="FF0000"/>
          <w:kern w:val="2"/>
          <w:sz w:val="28"/>
          <w:szCs w:val="28"/>
          <w:lang w:val="en-US" w:eastAsia="zh-CN" w:bidi="ar-SA"/>
        </w:rPr>
        <w:t>当药品的采购方式为</w:t>
      </w:r>
      <w:r>
        <w:rPr>
          <w:rFonts w:hint="eastAsia" w:ascii="Times New Roman" w:hAnsi="Times New Roman" w:eastAsia="宋体" w:cs="Times New Roman"/>
          <w:color w:val="FF0000"/>
          <w:kern w:val="2"/>
          <w:sz w:val="28"/>
          <w:szCs w:val="28"/>
          <w:lang w:val="en-US" w:eastAsia="zh-CN" w:bidi="ar-SA"/>
        </w:rPr>
        <w:t>参考价议价且无挂网价时，医疗机构需对</w:t>
      </w:r>
    </w:p>
    <w:p>
      <w:pPr>
        <w:ind w:left="840" w:hanging="840" w:hangingChars="300"/>
        <w:rPr>
          <w:rFonts w:hint="eastAsia" w:ascii="Times New Roman" w:hAnsi="Times New Roman" w:eastAsia="宋体" w:cs="Times New Roman"/>
          <w:color w:val="FF0000"/>
          <w:kern w:val="2"/>
          <w:sz w:val="28"/>
          <w:szCs w:val="28"/>
          <w:lang w:val="en-US" w:eastAsia="zh-CN" w:bidi="ar-SA"/>
        </w:rPr>
      </w:pPr>
      <w:r>
        <w:rPr>
          <w:rFonts w:hint="eastAsia" w:ascii="Times New Roman" w:hAnsi="Times New Roman" w:eastAsia="宋体" w:cs="Times New Roman"/>
          <w:color w:val="FF0000"/>
          <w:kern w:val="2"/>
          <w:sz w:val="28"/>
          <w:szCs w:val="28"/>
          <w:lang w:val="en-US" w:eastAsia="zh-CN" w:bidi="ar-SA"/>
        </w:rPr>
        <w:t>该药品进行议价且</w:t>
      </w:r>
      <w:r>
        <w:rPr>
          <w:rFonts w:hint="eastAsia" w:cs="Times New Roman"/>
          <w:color w:val="FF0000"/>
          <w:kern w:val="2"/>
          <w:sz w:val="28"/>
          <w:szCs w:val="28"/>
          <w:lang w:val="en-US" w:eastAsia="zh-CN" w:bidi="ar-SA"/>
        </w:rPr>
        <w:t>生成有效</w:t>
      </w:r>
      <w:r>
        <w:rPr>
          <w:rFonts w:hint="eastAsia" w:ascii="Times New Roman" w:hAnsi="Times New Roman" w:eastAsia="宋体" w:cs="Times New Roman"/>
          <w:color w:val="FF0000"/>
          <w:kern w:val="2"/>
          <w:sz w:val="28"/>
          <w:szCs w:val="28"/>
          <w:lang w:val="en-US" w:eastAsia="zh-CN" w:bidi="ar-SA"/>
        </w:rPr>
        <w:t>的议价单后该药品才能正常采购。</w:t>
      </w:r>
    </w:p>
    <w:p>
      <w:pPr>
        <w:ind w:firstLine="560"/>
        <w:rPr>
          <w:rFonts w:hint="eastAsia" w:cs="Times New Roman"/>
          <w:kern w:val="2"/>
          <w:sz w:val="28"/>
          <w:szCs w:val="28"/>
          <w:lang w:val="en-US" w:eastAsia="zh-CN" w:bidi="ar-SA"/>
        </w:rPr>
      </w:pPr>
      <w:r>
        <w:rPr>
          <w:rFonts w:hint="eastAsia" w:cs="Times New Roman"/>
          <w:kern w:val="2"/>
          <w:sz w:val="28"/>
          <w:szCs w:val="28"/>
          <w:lang w:val="en-US" w:eastAsia="zh-CN" w:bidi="ar-SA"/>
        </w:rPr>
        <w:t>当药品采购方式为</w:t>
      </w:r>
      <w:r>
        <w:rPr>
          <w:rFonts w:hint="eastAsia" w:cs="Times New Roman"/>
          <w:color w:val="FF0000"/>
          <w:kern w:val="2"/>
          <w:sz w:val="28"/>
          <w:szCs w:val="28"/>
          <w:lang w:val="en-US" w:eastAsia="zh-CN" w:bidi="ar-SA"/>
        </w:rPr>
        <w:t>限价可议价</w:t>
      </w:r>
      <w:r>
        <w:rPr>
          <w:rFonts w:hint="eastAsia" w:cs="Times New Roman"/>
          <w:kern w:val="2"/>
          <w:sz w:val="28"/>
          <w:szCs w:val="28"/>
          <w:lang w:val="en-US" w:eastAsia="zh-CN" w:bidi="ar-SA"/>
        </w:rPr>
        <w:t>，医疗机构可以按挂网限价议价采购，也可按挂网价直接采购</w:t>
      </w:r>
    </w:p>
    <w:p>
      <w:pPr>
        <w:ind w:firstLine="560"/>
        <w:rPr>
          <w:rFonts w:hint="default" w:cs="Times New Roman"/>
          <w:kern w:val="2"/>
          <w:sz w:val="28"/>
          <w:szCs w:val="28"/>
          <w:lang w:val="en-US" w:eastAsia="zh-CN" w:bidi="ar-SA"/>
        </w:rPr>
      </w:pPr>
      <w:r>
        <w:rPr>
          <w:rFonts w:hint="eastAsia" w:cs="Times New Roman"/>
          <w:kern w:val="2"/>
          <w:sz w:val="28"/>
          <w:szCs w:val="28"/>
          <w:lang w:val="en-US" w:eastAsia="zh-CN" w:bidi="ar-SA"/>
        </w:rPr>
        <w:t>当药品采购方式为</w:t>
      </w:r>
      <w:r>
        <w:rPr>
          <w:rFonts w:hint="eastAsia" w:cs="Times New Roman"/>
          <w:color w:val="FF0000"/>
          <w:kern w:val="2"/>
          <w:sz w:val="28"/>
          <w:szCs w:val="28"/>
          <w:lang w:val="en-US" w:eastAsia="zh-CN" w:bidi="ar-SA"/>
        </w:rPr>
        <w:t>参考价议价</w:t>
      </w:r>
      <w:r>
        <w:rPr>
          <w:rFonts w:hint="eastAsia" w:cs="Times New Roman"/>
          <w:kern w:val="2"/>
          <w:sz w:val="28"/>
          <w:szCs w:val="28"/>
          <w:lang w:val="en-US" w:eastAsia="zh-CN" w:bidi="ar-SA"/>
        </w:rPr>
        <w:t>，</w:t>
      </w:r>
      <w:r>
        <w:rPr>
          <w:rFonts w:hint="eastAsia" w:cs="Times New Roman"/>
          <w:kern w:val="2"/>
          <w:sz w:val="28"/>
          <w:szCs w:val="28"/>
          <w:lang w:val="en-US" w:eastAsia="zh-CN" w:bidi="ar-SA"/>
        </w:rPr>
        <w:t>医疗机构可以根据挂网价与企业议价，议定价格可以高于也可低于挂网价。也可按挂网价直接采购。</w:t>
      </w:r>
    </w:p>
    <w:p>
      <w:pPr>
        <w:pStyle w:val="11"/>
        <w:numPr>
          <w:ilvl w:val="1"/>
          <w:numId w:val="1"/>
        </w:numPr>
        <w:ind w:firstLineChars="0"/>
        <w:jc w:val="left"/>
        <w:rPr>
          <w:sz w:val="28"/>
          <w:szCs w:val="28"/>
        </w:rPr>
      </w:pPr>
      <w:r>
        <w:rPr>
          <w:rFonts w:hint="eastAsia"/>
          <w:sz w:val="28"/>
          <w:szCs w:val="28"/>
        </w:rPr>
        <w:t>系统功能说明</w:t>
      </w:r>
    </w:p>
    <w:p>
      <w:pPr>
        <w:pStyle w:val="11"/>
        <w:ind w:left="210" w:leftChars="100" w:firstLine="0" w:firstLineChars="0"/>
        <w:jc w:val="left"/>
        <w:rPr>
          <w:sz w:val="28"/>
          <w:szCs w:val="28"/>
        </w:rPr>
      </w:pPr>
      <w:r>
        <w:rPr>
          <w:rFonts w:hint="eastAsia"/>
          <w:sz w:val="28"/>
          <w:szCs w:val="28"/>
        </w:rPr>
        <w:t xml:space="preserve"> 议价管理主要是查看以及发起药品议价。</w:t>
      </w:r>
    </w:p>
    <w:p>
      <w:pPr>
        <w:pStyle w:val="11"/>
        <w:numPr>
          <w:ilvl w:val="1"/>
          <w:numId w:val="1"/>
        </w:numPr>
        <w:ind w:firstLineChars="0"/>
        <w:jc w:val="left"/>
        <w:rPr>
          <w:sz w:val="28"/>
          <w:szCs w:val="28"/>
        </w:rPr>
      </w:pPr>
      <w:r>
        <w:rPr>
          <w:rFonts w:hint="eastAsia"/>
          <w:sz w:val="28"/>
          <w:szCs w:val="28"/>
        </w:rPr>
        <w:t>系统操作说明</w:t>
      </w:r>
    </w:p>
    <w:p>
      <w:pPr>
        <w:pStyle w:val="11"/>
        <w:numPr>
          <w:ilvl w:val="0"/>
          <w:numId w:val="3"/>
        </w:numPr>
        <w:ind w:left="210" w:leftChars="100" w:firstLineChars="0"/>
        <w:jc w:val="left"/>
        <w:rPr>
          <w:sz w:val="28"/>
          <w:szCs w:val="28"/>
        </w:rPr>
      </w:pPr>
      <w:r>
        <w:rPr>
          <w:rFonts w:hint="eastAsia"/>
          <w:sz w:val="28"/>
          <w:szCs w:val="28"/>
        </w:rPr>
        <w:t>议价录入</w:t>
      </w:r>
    </w:p>
    <w:p>
      <w:pPr>
        <w:pStyle w:val="11"/>
        <w:ind w:left="210" w:leftChars="100" w:firstLine="0" w:firstLineChars="0"/>
        <w:jc w:val="left"/>
        <w:rPr>
          <w:rFonts w:hint="eastAsia" w:eastAsia="宋体"/>
          <w:sz w:val="28"/>
          <w:szCs w:val="28"/>
          <w:lang w:eastAsia="zh-CN"/>
        </w:rPr>
      </w:pPr>
      <w:r>
        <w:rPr>
          <w:rFonts w:hint="eastAsia"/>
          <w:sz w:val="28"/>
          <w:szCs w:val="28"/>
        </w:rPr>
        <w:t>点击左侧菜单【</w:t>
      </w:r>
      <w:r>
        <w:rPr>
          <w:rFonts w:hint="eastAsia"/>
          <w:b/>
          <w:bCs/>
          <w:sz w:val="28"/>
          <w:szCs w:val="28"/>
        </w:rPr>
        <w:t>议价管理-议价录入</w:t>
      </w:r>
      <w:r>
        <w:rPr>
          <w:rFonts w:hint="eastAsia"/>
          <w:sz w:val="28"/>
          <w:szCs w:val="28"/>
        </w:rPr>
        <w:t>】进入议价录入页面，如图（1）所示。</w:t>
      </w:r>
      <w:r>
        <w:rPr>
          <w:rFonts w:hint="eastAsia"/>
          <w:color w:val="FF0000"/>
          <w:sz w:val="28"/>
          <w:szCs w:val="28"/>
        </w:rPr>
        <w:t>议价录入页面所展示的药品为</w:t>
      </w:r>
      <w:r>
        <w:rPr>
          <w:rFonts w:hint="eastAsia"/>
          <w:color w:val="FF0000"/>
          <w:sz w:val="28"/>
          <w:szCs w:val="28"/>
          <w:lang w:eastAsia="zh-CN"/>
        </w:rPr>
        <w:t>医院采购目录内可议价的药品信息</w:t>
      </w:r>
      <w:bookmarkStart w:id="0" w:name="_GoBack"/>
      <w:bookmarkEnd w:id="0"/>
    </w:p>
    <w:p>
      <w:pPr>
        <w:pStyle w:val="11"/>
        <w:ind w:left="210" w:leftChars="100" w:firstLine="0" w:firstLineChars="0"/>
        <w:rPr>
          <w:sz w:val="28"/>
          <w:szCs w:val="28"/>
        </w:rPr>
      </w:pPr>
      <w:r>
        <w:rPr>
          <w:sz w:val="28"/>
          <w:szCs w:val="28"/>
        </w:rPr>
        <w:drawing>
          <wp:inline distT="0" distB="0" distL="0" distR="0">
            <wp:extent cx="5274310" cy="2530475"/>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2530475"/>
                    </a:xfrm>
                    <a:prstGeom prst="rect">
                      <a:avLst/>
                    </a:prstGeom>
                  </pic:spPr>
                </pic:pic>
              </a:graphicData>
            </a:graphic>
          </wp:inline>
        </w:drawing>
      </w:r>
    </w:p>
    <w:p>
      <w:pPr>
        <w:pStyle w:val="11"/>
        <w:ind w:left="210" w:leftChars="100" w:firstLine="3360" w:firstLineChars="1200"/>
        <w:rPr>
          <w:sz w:val="28"/>
          <w:szCs w:val="28"/>
        </w:rPr>
      </w:pPr>
      <w:r>
        <w:rPr>
          <w:sz w:val="28"/>
          <w:szCs w:val="28"/>
        </w:rPr>
        <w:t>图</w:t>
      </w:r>
      <w:r>
        <w:rPr>
          <w:rFonts w:hint="eastAsia"/>
          <w:sz w:val="28"/>
          <w:szCs w:val="28"/>
        </w:rPr>
        <w:t>（</w:t>
      </w:r>
      <w:r>
        <w:rPr>
          <w:sz w:val="28"/>
          <w:szCs w:val="28"/>
        </w:rPr>
        <w:t>1</w:t>
      </w:r>
      <w:r>
        <w:rPr>
          <w:rFonts w:hint="eastAsia"/>
          <w:sz w:val="28"/>
          <w:szCs w:val="28"/>
        </w:rPr>
        <w:t>）</w:t>
      </w:r>
    </w:p>
    <w:p>
      <w:r>
        <w:rPr>
          <w:rFonts w:hint="eastAsia"/>
        </w:rPr>
        <w:t>点击图（1）‘操作’一列的加号按钮发起议价，进入如图（2）所示页面。带</w:t>
      </w:r>
      <w:r>
        <w:rPr>
          <w:rFonts w:hint="eastAsia"/>
          <w:color w:val="FF0000"/>
        </w:rPr>
        <w:t>*</w:t>
      </w:r>
      <w:r>
        <w:rPr>
          <w:rFonts w:hint="eastAsia"/>
        </w:rPr>
        <w:t xml:space="preserve">的为必填项，在如图（2）所示页面中，在议定价格一栏输入你想要的采购价，在议价方式一栏中你可自主选择议价类型，包括自主议价和联合议价。在议价企业一栏中可选择药品生产企业或被授权的议价配送企业。                        </w:t>
      </w:r>
    </w:p>
    <w:p>
      <w:pPr>
        <w:pStyle w:val="6"/>
        <w:rPr>
          <w:rFonts w:ascii="Microsoft YaHei UI" w:hAnsi="Microsoft YaHei UI" w:eastAsia="Microsoft YaHei UI" w:cs="Tahoma"/>
          <w:color w:val="FF0000"/>
          <w:sz w:val="18"/>
          <w:szCs w:val="18"/>
        </w:rPr>
      </w:pPr>
      <w:r>
        <w:rPr>
          <w:rFonts w:ascii="Microsoft YaHei UI" w:hAnsi="Microsoft YaHei UI" w:eastAsia="Microsoft YaHei UI" w:cs="Tahoma"/>
          <w:color w:val="FF0000"/>
          <w:sz w:val="18"/>
          <w:szCs w:val="18"/>
        </w:rPr>
        <w:t>P</w:t>
      </w:r>
      <w:r>
        <w:rPr>
          <w:rFonts w:hint="eastAsia" w:ascii="Microsoft YaHei UI" w:hAnsi="Microsoft YaHei UI" w:eastAsia="Microsoft YaHei UI" w:cs="Tahoma"/>
          <w:color w:val="FF0000"/>
          <w:sz w:val="18"/>
          <w:szCs w:val="18"/>
        </w:rPr>
        <w:t>s：</w:t>
      </w:r>
      <w:r>
        <w:rPr>
          <w:rFonts w:ascii="Microsoft YaHei UI" w:hAnsi="Microsoft YaHei UI" w:eastAsia="Microsoft YaHei UI"/>
          <w:color w:val="FF0000"/>
          <w:sz w:val="18"/>
          <w:szCs w:val="18"/>
        </w:rPr>
        <w:t>自主议价就是自己一个人议价</w:t>
      </w:r>
    </w:p>
    <w:p>
      <w:pPr>
        <w:pStyle w:val="12"/>
        <w:widowControl/>
        <w:ind w:firstLine="360"/>
        <w:jc w:val="left"/>
        <w:rPr>
          <w:rFonts w:ascii="Microsoft YaHei UI" w:hAnsi="Microsoft YaHei UI" w:eastAsia="Microsoft YaHei UI" w:cs="宋体"/>
          <w:color w:val="FF0000"/>
          <w:kern w:val="0"/>
          <w:sz w:val="18"/>
          <w:szCs w:val="18"/>
        </w:rPr>
      </w:pPr>
      <w:r>
        <w:rPr>
          <w:rFonts w:ascii="Microsoft YaHei UI" w:hAnsi="Microsoft YaHei UI" w:eastAsia="Microsoft YaHei UI" w:cs="宋体"/>
          <w:color w:val="FF0000"/>
          <w:kern w:val="0"/>
          <w:sz w:val="18"/>
          <w:szCs w:val="18"/>
        </w:rPr>
        <w:t>联合议价就是发起医疗机构邀请</w:t>
      </w:r>
      <w:r>
        <w:rPr>
          <w:rFonts w:hint="eastAsia" w:ascii="Microsoft YaHei UI" w:hAnsi="Microsoft YaHei UI" w:eastAsia="Microsoft YaHei UI" w:cs="宋体"/>
          <w:color w:val="FF0000"/>
          <w:kern w:val="0"/>
          <w:sz w:val="18"/>
          <w:szCs w:val="18"/>
        </w:rPr>
        <w:t>同</w:t>
      </w:r>
      <w:r>
        <w:rPr>
          <w:rFonts w:ascii="Microsoft YaHei UI" w:hAnsi="Microsoft YaHei UI" w:eastAsia="Microsoft YaHei UI" w:cs="宋体"/>
          <w:color w:val="FF0000"/>
          <w:kern w:val="0"/>
          <w:sz w:val="18"/>
          <w:szCs w:val="18"/>
        </w:rPr>
        <w:t>县区的其他医疗机构参与,其他医院只需提交采购量</w:t>
      </w:r>
      <w:r>
        <w:rPr>
          <w:rFonts w:hint="eastAsia" w:ascii="Microsoft YaHei UI" w:hAnsi="Microsoft YaHei UI" w:eastAsia="Microsoft YaHei UI" w:cs="宋体"/>
          <w:color w:val="FF0000"/>
          <w:kern w:val="0"/>
          <w:sz w:val="18"/>
          <w:szCs w:val="18"/>
        </w:rPr>
        <w:t>，并在议价单到期之前响应即可。议价成功后，所有响应的医院都可以看到生效的议价单并以该价格采购。</w:t>
      </w:r>
      <w:r>
        <w:rPr>
          <w:rFonts w:ascii="Microsoft YaHei UI" w:hAnsi="Microsoft YaHei UI" w:eastAsia="Microsoft YaHei UI" w:cs="宋体"/>
          <w:color w:val="FF0000"/>
          <w:kern w:val="0"/>
          <w:sz w:val="18"/>
          <w:szCs w:val="18"/>
        </w:rPr>
        <w:t>详情如下注说明</w:t>
      </w:r>
    </w:p>
    <w:p>
      <w:r>
        <w:rPr>
          <w:rFonts w:hint="eastAsia"/>
        </w:rPr>
        <w:t>填写信息确认无误后，点击提交按钮即可，议价录入成功后</w:t>
      </w:r>
    </w:p>
    <w:p>
      <w:pPr>
        <w:pStyle w:val="11"/>
        <w:ind w:left="210" w:leftChars="100" w:firstLine="0" w:firstLineChars="0"/>
        <w:rPr>
          <w:sz w:val="28"/>
          <w:szCs w:val="28"/>
        </w:rPr>
      </w:pPr>
      <w:r>
        <w:rPr>
          <w:sz w:val="28"/>
          <w:szCs w:val="28"/>
        </w:rPr>
        <w:drawing>
          <wp:inline distT="0" distB="0" distL="0" distR="0">
            <wp:extent cx="5274310" cy="2600325"/>
            <wp:effectExtent l="0" t="0" r="254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2600325"/>
                    </a:xfrm>
                    <a:prstGeom prst="rect">
                      <a:avLst/>
                    </a:prstGeom>
                  </pic:spPr>
                </pic:pic>
              </a:graphicData>
            </a:graphic>
          </wp:inline>
        </w:drawing>
      </w:r>
    </w:p>
    <w:p>
      <w:pPr>
        <w:pStyle w:val="11"/>
        <w:ind w:left="210" w:leftChars="100" w:firstLine="3920" w:firstLineChars="1400"/>
        <w:rPr>
          <w:sz w:val="28"/>
          <w:szCs w:val="28"/>
        </w:rPr>
      </w:pPr>
      <w:r>
        <w:rPr>
          <w:sz w:val="28"/>
          <w:szCs w:val="28"/>
        </w:rPr>
        <w:t>图</w:t>
      </w:r>
      <w:r>
        <w:rPr>
          <w:rFonts w:hint="eastAsia"/>
          <w:sz w:val="28"/>
          <w:szCs w:val="28"/>
        </w:rPr>
        <w:t>（</w:t>
      </w:r>
      <w:r>
        <w:rPr>
          <w:sz w:val="28"/>
          <w:szCs w:val="28"/>
        </w:rPr>
        <w:t>2</w:t>
      </w:r>
      <w:r>
        <w:rPr>
          <w:rFonts w:hint="eastAsia"/>
          <w:sz w:val="28"/>
          <w:szCs w:val="28"/>
        </w:rPr>
        <w:t>）</w:t>
      </w:r>
    </w:p>
    <w:p>
      <w:pPr>
        <w:pStyle w:val="11"/>
        <w:ind w:left="210" w:leftChars="100" w:firstLine="0" w:firstLineChars="0"/>
        <w:rPr>
          <w:rFonts w:ascii="Microsoft YaHei UI" w:hAnsi="Microsoft YaHei UI" w:eastAsia="Microsoft YaHei UI" w:cs="宋体"/>
          <w:color w:val="FF0000"/>
          <w:kern w:val="0"/>
          <w:sz w:val="18"/>
          <w:szCs w:val="18"/>
        </w:rPr>
      </w:pPr>
      <w:r>
        <w:rPr>
          <w:rFonts w:ascii="Microsoft YaHei UI" w:hAnsi="Microsoft YaHei UI" w:eastAsia="Microsoft YaHei UI" w:cs="宋体"/>
          <w:color w:val="FF0000"/>
          <w:kern w:val="0"/>
          <w:sz w:val="18"/>
          <w:szCs w:val="18"/>
        </w:rPr>
        <w:t>说明</w:t>
      </w:r>
      <w:r>
        <w:rPr>
          <w:rFonts w:hint="eastAsia" w:ascii="Microsoft YaHei UI" w:hAnsi="Microsoft YaHei UI" w:eastAsia="Microsoft YaHei UI" w:cs="宋体"/>
          <w:color w:val="FF0000"/>
          <w:kern w:val="0"/>
          <w:sz w:val="18"/>
          <w:szCs w:val="18"/>
        </w:rPr>
        <w:t>：1</w:t>
      </w:r>
      <w:r>
        <w:rPr>
          <w:rFonts w:ascii="Microsoft YaHei UI" w:hAnsi="Microsoft YaHei UI" w:eastAsia="Microsoft YaHei UI" w:cs="宋体"/>
          <w:color w:val="FF0000"/>
          <w:kern w:val="0"/>
          <w:sz w:val="18"/>
          <w:szCs w:val="18"/>
        </w:rPr>
        <w:t>.</w:t>
      </w:r>
      <w:r>
        <w:rPr>
          <w:rFonts w:hint="eastAsia" w:ascii="Microsoft YaHei UI" w:hAnsi="Microsoft YaHei UI" w:eastAsia="Microsoft YaHei UI" w:cs="宋体"/>
          <w:color w:val="FF0000"/>
          <w:kern w:val="0"/>
          <w:sz w:val="18"/>
          <w:szCs w:val="18"/>
        </w:rPr>
        <w:t>后面采购数量大于预采购数量的百分之八十或到了议价单到期时间的，议价双方可单方面解除议价单</w:t>
      </w:r>
    </w:p>
    <w:p>
      <w:pPr>
        <w:pStyle w:val="11"/>
        <w:ind w:left="210" w:leftChars="100" w:firstLine="0" w:firstLineChars="0"/>
        <w:rPr>
          <w:rFonts w:ascii="Microsoft YaHei UI" w:hAnsi="Microsoft YaHei UI" w:eastAsia="Microsoft YaHei UI" w:cs="宋体"/>
          <w:color w:val="FF0000"/>
          <w:kern w:val="0"/>
          <w:sz w:val="18"/>
          <w:szCs w:val="18"/>
        </w:rPr>
      </w:pPr>
      <w:r>
        <w:rPr>
          <w:rFonts w:hint="eastAsia" w:ascii="Microsoft YaHei UI" w:hAnsi="Microsoft YaHei UI" w:eastAsia="Microsoft YaHei UI" w:cs="宋体"/>
          <w:color w:val="FF0000"/>
          <w:kern w:val="0"/>
          <w:sz w:val="18"/>
          <w:szCs w:val="18"/>
        </w:rPr>
        <w:t>2</w:t>
      </w:r>
      <w:r>
        <w:rPr>
          <w:rFonts w:ascii="Microsoft YaHei UI" w:hAnsi="Microsoft YaHei UI" w:eastAsia="Microsoft YaHei UI" w:cs="宋体"/>
          <w:color w:val="FF0000"/>
          <w:kern w:val="0"/>
          <w:sz w:val="18"/>
          <w:szCs w:val="18"/>
        </w:rPr>
        <w:t>.若医疗机构输入的议定价格高于企业设置的意向价</w:t>
      </w:r>
      <w:r>
        <w:rPr>
          <w:rFonts w:hint="eastAsia" w:ascii="Microsoft YaHei UI" w:hAnsi="Microsoft YaHei UI" w:eastAsia="Microsoft YaHei UI" w:cs="宋体"/>
          <w:color w:val="FF0000"/>
          <w:kern w:val="0"/>
          <w:sz w:val="18"/>
          <w:szCs w:val="18"/>
        </w:rPr>
        <w:t>，</w:t>
      </w:r>
      <w:r>
        <w:rPr>
          <w:rFonts w:ascii="Microsoft YaHei UI" w:hAnsi="Microsoft YaHei UI" w:eastAsia="Microsoft YaHei UI" w:cs="宋体"/>
          <w:color w:val="FF0000"/>
          <w:kern w:val="0"/>
          <w:sz w:val="18"/>
          <w:szCs w:val="18"/>
        </w:rPr>
        <w:t>则议价单直接生效</w:t>
      </w:r>
    </w:p>
    <w:p>
      <w:pPr>
        <w:pStyle w:val="11"/>
        <w:ind w:left="210" w:leftChars="100" w:firstLine="0" w:firstLineChars="0"/>
        <w:jc w:val="left"/>
        <w:rPr>
          <w:color w:val="0000FF"/>
          <w:sz w:val="30"/>
          <w:szCs w:val="30"/>
        </w:rPr>
      </w:pPr>
      <w:r>
        <w:rPr>
          <w:color w:val="0000FF"/>
          <w:sz w:val="30"/>
          <w:szCs w:val="30"/>
        </w:rPr>
        <w:t>注</w:t>
      </w:r>
      <w:r>
        <w:rPr>
          <w:rFonts w:hint="eastAsia"/>
          <w:color w:val="0000FF"/>
          <w:sz w:val="30"/>
          <w:szCs w:val="30"/>
        </w:rPr>
        <w:t>：</w:t>
      </w:r>
      <w:r>
        <w:rPr>
          <w:color w:val="0000FF"/>
          <w:sz w:val="30"/>
          <w:szCs w:val="30"/>
        </w:rPr>
        <w:t>选择议价类型为联合议价时</w:t>
      </w:r>
      <w:r>
        <w:rPr>
          <w:rFonts w:hint="eastAsia"/>
          <w:color w:val="0000FF"/>
          <w:sz w:val="30"/>
          <w:szCs w:val="30"/>
        </w:rPr>
        <w:t>，出现如下图所示页面</w:t>
      </w:r>
    </w:p>
    <w:p>
      <w:pPr>
        <w:pStyle w:val="11"/>
        <w:ind w:left="210" w:leftChars="100" w:firstLine="0" w:firstLineChars="0"/>
        <w:jc w:val="left"/>
        <w:rPr>
          <w:color w:val="0000FF"/>
        </w:rPr>
      </w:pPr>
      <w:r>
        <w:rPr>
          <w:rFonts w:hint="eastAsia"/>
          <w:color w:val="0000FF"/>
        </w:rPr>
        <w:drawing>
          <wp:inline distT="0" distB="0" distL="0" distR="0">
            <wp:extent cx="5274310" cy="2550160"/>
            <wp:effectExtent l="0" t="0" r="254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2550160"/>
                    </a:xfrm>
                    <a:prstGeom prst="rect">
                      <a:avLst/>
                    </a:prstGeom>
                  </pic:spPr>
                </pic:pic>
              </a:graphicData>
            </a:graphic>
          </wp:inline>
        </w:drawing>
      </w:r>
    </w:p>
    <w:p>
      <w:pPr>
        <w:pStyle w:val="11"/>
        <w:ind w:left="210" w:leftChars="100" w:firstLine="3360" w:firstLineChars="1600"/>
        <w:jc w:val="left"/>
        <w:rPr>
          <w:color w:val="0000FF"/>
        </w:rPr>
      </w:pPr>
      <w:r>
        <w:rPr>
          <w:color w:val="0000FF"/>
        </w:rPr>
        <w:t>图</w:t>
      </w:r>
      <w:r>
        <w:rPr>
          <w:rFonts w:hint="eastAsia"/>
          <w:color w:val="0000FF"/>
        </w:rPr>
        <w:t>（</w:t>
      </w:r>
      <w:r>
        <w:rPr>
          <w:color w:val="0000FF"/>
        </w:rPr>
        <w:t>2</w:t>
      </w:r>
      <w:r>
        <w:rPr>
          <w:rFonts w:hint="eastAsia"/>
          <w:color w:val="0000FF"/>
        </w:rPr>
        <w:t>-</w:t>
      </w:r>
      <w:r>
        <w:rPr>
          <w:color w:val="0000FF"/>
        </w:rPr>
        <w:t>1</w:t>
      </w:r>
      <w:r>
        <w:rPr>
          <w:rFonts w:hint="eastAsia"/>
          <w:color w:val="0000FF"/>
        </w:rPr>
        <w:t>）</w:t>
      </w:r>
    </w:p>
    <w:p>
      <w:pPr>
        <w:pStyle w:val="6"/>
        <w:ind w:firstLine="300" w:firstLineChars="100"/>
        <w:rPr>
          <w:rFonts w:ascii="Times New Roman" w:hAnsi="Times New Roman" w:cs="Times New Roman"/>
          <w:color w:val="0000FF"/>
          <w:kern w:val="2"/>
          <w:sz w:val="30"/>
          <w:szCs w:val="30"/>
        </w:rPr>
      </w:pPr>
      <w:r>
        <w:rPr>
          <w:rFonts w:hint="eastAsia" w:ascii="Times New Roman" w:hAnsi="Times New Roman" w:cs="Times New Roman"/>
          <w:color w:val="0000FF"/>
          <w:kern w:val="2"/>
          <w:sz w:val="30"/>
          <w:szCs w:val="30"/>
        </w:rPr>
        <w:t>1</w:t>
      </w:r>
      <w:r>
        <w:rPr>
          <w:rFonts w:ascii="Times New Roman" w:hAnsi="Times New Roman" w:cs="Times New Roman"/>
          <w:color w:val="0000FF"/>
          <w:kern w:val="2"/>
          <w:sz w:val="30"/>
          <w:szCs w:val="30"/>
        </w:rPr>
        <w:t>.选择议价企业并填写预采购数量与议定价格后</w:t>
      </w:r>
      <w:r>
        <w:rPr>
          <w:rFonts w:hint="eastAsia" w:ascii="Times New Roman" w:hAnsi="Times New Roman" w:cs="Times New Roman"/>
          <w:color w:val="0000FF"/>
          <w:kern w:val="2"/>
          <w:sz w:val="30"/>
          <w:szCs w:val="30"/>
        </w:rPr>
        <w:t>，</w:t>
      </w:r>
      <w:r>
        <w:rPr>
          <w:rFonts w:ascii="Times New Roman" w:hAnsi="Times New Roman" w:cs="Times New Roman"/>
          <w:color w:val="0000FF"/>
          <w:kern w:val="2"/>
          <w:sz w:val="30"/>
          <w:szCs w:val="30"/>
        </w:rPr>
        <w:t>其他医院响应时间范围是默认为十天内</w:t>
      </w:r>
      <w:r>
        <w:rPr>
          <w:rFonts w:hint="eastAsia" w:ascii="Times New Roman" w:hAnsi="Times New Roman" w:cs="Times New Roman"/>
          <w:color w:val="0000FF"/>
          <w:kern w:val="2"/>
          <w:sz w:val="30"/>
          <w:szCs w:val="30"/>
        </w:rPr>
        <w:t>。点击提交按钮后，等待其他同县区的医疗机构响应，未响应的医疗机构视同放弃参与议价</w:t>
      </w:r>
      <w:r>
        <w:rPr>
          <w:rFonts w:ascii="Times New Roman" w:hAnsi="Times New Roman" w:cs="Times New Roman"/>
          <w:color w:val="0000FF"/>
          <w:kern w:val="2"/>
          <w:sz w:val="30"/>
          <w:szCs w:val="30"/>
        </w:rPr>
        <w:t>；若议价类型选择为自主议价，则选择企业并填写建议价后直接提交给议价对象。</w:t>
      </w:r>
    </w:p>
    <w:p>
      <w:pPr>
        <w:pStyle w:val="6"/>
        <w:rPr>
          <w:rFonts w:ascii="Times New Roman" w:hAnsi="Times New Roman" w:cs="Times New Roman"/>
          <w:color w:val="0000FF"/>
          <w:kern w:val="2"/>
          <w:sz w:val="30"/>
          <w:szCs w:val="30"/>
        </w:rPr>
      </w:pPr>
      <w:r>
        <w:rPr>
          <w:rFonts w:hint="eastAsia"/>
          <w:color w:val="FF0000"/>
          <w:kern w:val="2"/>
        </w:rPr>
        <w:t xml:space="preserve"> </w:t>
      </w:r>
      <w:r>
        <w:rPr>
          <w:rFonts w:hint="eastAsia" w:ascii="Times New Roman" w:hAnsi="Times New Roman" w:cs="Times New Roman"/>
          <w:color w:val="0000FF"/>
          <w:kern w:val="2"/>
          <w:sz w:val="30"/>
          <w:szCs w:val="30"/>
        </w:rPr>
        <w:t xml:space="preserve"> </w:t>
      </w:r>
      <w:r>
        <w:rPr>
          <w:rFonts w:ascii="Times New Roman" w:hAnsi="Times New Roman" w:cs="Times New Roman"/>
          <w:color w:val="0000FF"/>
          <w:kern w:val="2"/>
          <w:sz w:val="30"/>
          <w:szCs w:val="30"/>
        </w:rPr>
        <w:t>2.</w:t>
      </w:r>
      <w:r>
        <w:rPr>
          <w:rFonts w:hint="eastAsia" w:ascii="Times New Roman" w:hAnsi="Times New Roman" w:cs="Times New Roman"/>
          <w:color w:val="0000FF"/>
          <w:kern w:val="2"/>
          <w:sz w:val="30"/>
          <w:szCs w:val="30"/>
        </w:rPr>
        <w:t>其他医疗机构联合议价确认：点击图（2-</w:t>
      </w:r>
      <w:r>
        <w:rPr>
          <w:rFonts w:ascii="Times New Roman" w:hAnsi="Times New Roman" w:cs="Times New Roman"/>
          <w:color w:val="0000FF"/>
          <w:kern w:val="2"/>
          <w:sz w:val="30"/>
          <w:szCs w:val="30"/>
        </w:rPr>
        <w:t>2</w:t>
      </w:r>
      <w:r>
        <w:rPr>
          <w:rFonts w:hint="eastAsia" w:ascii="Times New Roman" w:hAnsi="Times New Roman" w:cs="Times New Roman"/>
          <w:color w:val="0000FF"/>
          <w:kern w:val="2"/>
          <w:sz w:val="30"/>
          <w:szCs w:val="30"/>
        </w:rPr>
        <w:t>）的参与联合议价栏，若参与联合议价，点击操作一列的加号按钮，出现</w:t>
      </w:r>
      <w:r>
        <w:rPr>
          <w:rFonts w:ascii="Times New Roman" w:hAnsi="Times New Roman" w:cs="Times New Roman"/>
          <w:color w:val="0000FF"/>
          <w:kern w:val="2"/>
          <w:sz w:val="30"/>
          <w:szCs w:val="30"/>
        </w:rPr>
        <w:t>图</w:t>
      </w:r>
      <w:r>
        <w:rPr>
          <w:rFonts w:hint="eastAsia" w:ascii="Times New Roman" w:hAnsi="Times New Roman" w:cs="Times New Roman"/>
          <w:color w:val="0000FF"/>
          <w:kern w:val="2"/>
          <w:sz w:val="30"/>
          <w:szCs w:val="30"/>
        </w:rPr>
        <w:t>（2-</w:t>
      </w:r>
      <w:r>
        <w:rPr>
          <w:rFonts w:ascii="Times New Roman" w:hAnsi="Times New Roman" w:cs="Times New Roman"/>
          <w:color w:val="0000FF"/>
          <w:kern w:val="2"/>
          <w:sz w:val="30"/>
          <w:szCs w:val="30"/>
        </w:rPr>
        <w:t>3</w:t>
      </w:r>
      <w:r>
        <w:rPr>
          <w:rFonts w:hint="eastAsia" w:ascii="Times New Roman" w:hAnsi="Times New Roman" w:cs="Times New Roman"/>
          <w:color w:val="0000FF"/>
          <w:kern w:val="2"/>
          <w:sz w:val="30"/>
          <w:szCs w:val="30"/>
        </w:rPr>
        <w:t>）页面，填写预采购数量，点击图（2-</w:t>
      </w:r>
      <w:r>
        <w:rPr>
          <w:rFonts w:ascii="Times New Roman" w:hAnsi="Times New Roman" w:cs="Times New Roman"/>
          <w:color w:val="0000FF"/>
          <w:kern w:val="2"/>
          <w:sz w:val="30"/>
          <w:szCs w:val="30"/>
        </w:rPr>
        <w:t>3</w:t>
      </w:r>
      <w:r>
        <w:rPr>
          <w:rFonts w:hint="eastAsia" w:ascii="Times New Roman" w:hAnsi="Times New Roman" w:cs="Times New Roman"/>
          <w:color w:val="0000FF"/>
          <w:kern w:val="2"/>
          <w:sz w:val="30"/>
          <w:szCs w:val="30"/>
        </w:rPr>
        <w:t>）的保存按钮。反之如果不想一起议价，则不需要输入采购量，不需要点击保存按钮。</w:t>
      </w:r>
    </w:p>
    <w:p>
      <w:pPr>
        <w:pStyle w:val="6"/>
        <w:rPr>
          <w:rFonts w:ascii="Times New Roman" w:hAnsi="Times New Roman" w:cs="Times New Roman"/>
          <w:color w:val="0000FF"/>
          <w:kern w:val="2"/>
          <w:sz w:val="30"/>
          <w:szCs w:val="30"/>
        </w:rPr>
      </w:pPr>
      <w:r>
        <w:rPr>
          <w:rFonts w:ascii="Times New Roman" w:hAnsi="Times New Roman" w:cs="Times New Roman"/>
          <w:color w:val="0000FF"/>
          <w:kern w:val="2"/>
          <w:sz w:val="30"/>
          <w:szCs w:val="30"/>
        </w:rPr>
        <w:drawing>
          <wp:inline distT="0" distB="0" distL="0" distR="0">
            <wp:extent cx="5274310" cy="2625725"/>
            <wp:effectExtent l="0" t="0" r="2540"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625725"/>
                    </a:xfrm>
                    <a:prstGeom prst="rect">
                      <a:avLst/>
                    </a:prstGeom>
                  </pic:spPr>
                </pic:pic>
              </a:graphicData>
            </a:graphic>
          </wp:inline>
        </w:drawing>
      </w:r>
    </w:p>
    <w:p>
      <w:pPr>
        <w:ind w:firstLine="3780" w:firstLineChars="1800"/>
        <w:jc w:val="left"/>
        <w:rPr>
          <w:color w:val="0000FF"/>
        </w:rPr>
      </w:pPr>
      <w:r>
        <w:rPr>
          <w:color w:val="0000FF"/>
        </w:rPr>
        <w:t>图</w:t>
      </w:r>
      <w:r>
        <w:rPr>
          <w:rFonts w:hint="eastAsia"/>
          <w:color w:val="0000FF"/>
        </w:rPr>
        <w:t>（</w:t>
      </w:r>
      <w:r>
        <w:rPr>
          <w:color w:val="0000FF"/>
        </w:rPr>
        <w:t>2</w:t>
      </w:r>
      <w:r>
        <w:rPr>
          <w:rFonts w:hint="eastAsia"/>
          <w:color w:val="0000FF"/>
        </w:rPr>
        <w:t>-</w:t>
      </w:r>
      <w:r>
        <w:rPr>
          <w:color w:val="0000FF"/>
        </w:rPr>
        <w:t>2</w:t>
      </w:r>
      <w:r>
        <w:rPr>
          <w:rFonts w:hint="eastAsia"/>
          <w:color w:val="0000FF"/>
        </w:rPr>
        <w:t>）</w:t>
      </w:r>
    </w:p>
    <w:p>
      <w:pPr>
        <w:pStyle w:val="6"/>
        <w:rPr>
          <w:rFonts w:ascii="Times New Roman" w:hAnsi="Times New Roman" w:cs="Times New Roman"/>
          <w:color w:val="0000FF"/>
          <w:kern w:val="2"/>
          <w:sz w:val="30"/>
          <w:szCs w:val="30"/>
        </w:rPr>
      </w:pPr>
      <w:r>
        <w:rPr>
          <w:rFonts w:ascii="Times New Roman" w:hAnsi="Times New Roman" w:cs="Times New Roman"/>
          <w:color w:val="0000FF"/>
          <w:kern w:val="2"/>
          <w:sz w:val="30"/>
          <w:szCs w:val="30"/>
        </w:rPr>
        <w:drawing>
          <wp:inline distT="0" distB="0" distL="0" distR="0">
            <wp:extent cx="5274310" cy="2621280"/>
            <wp:effectExtent l="0" t="0" r="254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621280"/>
                    </a:xfrm>
                    <a:prstGeom prst="rect">
                      <a:avLst/>
                    </a:prstGeom>
                  </pic:spPr>
                </pic:pic>
              </a:graphicData>
            </a:graphic>
          </wp:inline>
        </w:drawing>
      </w:r>
    </w:p>
    <w:p>
      <w:pPr>
        <w:pStyle w:val="6"/>
        <w:ind w:firstLine="3600" w:firstLineChars="1200"/>
        <w:rPr>
          <w:rFonts w:ascii="Times New Roman" w:hAnsi="Times New Roman" w:cs="Times New Roman"/>
          <w:color w:val="0000FF"/>
          <w:kern w:val="2"/>
          <w:sz w:val="30"/>
          <w:szCs w:val="30"/>
        </w:rPr>
      </w:pPr>
      <w:r>
        <w:rPr>
          <w:rFonts w:ascii="Times New Roman" w:hAnsi="Times New Roman" w:cs="Times New Roman"/>
          <w:color w:val="0000FF"/>
          <w:kern w:val="2"/>
          <w:sz w:val="30"/>
          <w:szCs w:val="30"/>
        </w:rPr>
        <w:t>图</w:t>
      </w:r>
      <w:r>
        <w:rPr>
          <w:rFonts w:hint="eastAsia" w:ascii="Times New Roman" w:hAnsi="Times New Roman" w:cs="Times New Roman"/>
          <w:color w:val="0000FF"/>
          <w:kern w:val="2"/>
          <w:sz w:val="30"/>
          <w:szCs w:val="30"/>
        </w:rPr>
        <w:t>（</w:t>
      </w:r>
      <w:r>
        <w:rPr>
          <w:rFonts w:ascii="Times New Roman" w:hAnsi="Times New Roman" w:cs="Times New Roman"/>
          <w:color w:val="0000FF"/>
          <w:kern w:val="2"/>
          <w:sz w:val="30"/>
          <w:szCs w:val="30"/>
        </w:rPr>
        <w:t>2</w:t>
      </w:r>
      <w:r>
        <w:rPr>
          <w:rFonts w:hint="eastAsia" w:ascii="Times New Roman" w:hAnsi="Times New Roman" w:cs="Times New Roman"/>
          <w:color w:val="0000FF"/>
          <w:kern w:val="2"/>
          <w:sz w:val="30"/>
          <w:szCs w:val="30"/>
        </w:rPr>
        <w:t>-</w:t>
      </w:r>
      <w:r>
        <w:rPr>
          <w:rFonts w:ascii="Times New Roman" w:hAnsi="Times New Roman" w:cs="Times New Roman"/>
          <w:color w:val="0000FF"/>
          <w:kern w:val="2"/>
          <w:sz w:val="30"/>
          <w:szCs w:val="30"/>
        </w:rPr>
        <w:t>3</w:t>
      </w:r>
      <w:r>
        <w:rPr>
          <w:rFonts w:hint="eastAsia" w:ascii="Times New Roman" w:hAnsi="Times New Roman" w:cs="Times New Roman"/>
          <w:color w:val="0000FF"/>
          <w:kern w:val="2"/>
          <w:sz w:val="30"/>
          <w:szCs w:val="30"/>
        </w:rPr>
        <w:t>）</w:t>
      </w:r>
    </w:p>
    <w:p>
      <w:pPr>
        <w:pStyle w:val="11"/>
        <w:ind w:left="210" w:leftChars="100" w:firstLine="0" w:firstLineChars="0"/>
        <w:rPr>
          <w:rFonts w:ascii="Microsoft YaHei UI" w:hAnsi="Microsoft YaHei UI" w:eastAsia="Microsoft YaHei UI" w:cs="宋体"/>
          <w:b/>
          <w:color w:val="FF0000"/>
          <w:kern w:val="0"/>
          <w:sz w:val="18"/>
          <w:szCs w:val="18"/>
        </w:rPr>
      </w:pPr>
    </w:p>
    <w:p>
      <w:pPr>
        <w:pStyle w:val="11"/>
        <w:numPr>
          <w:ilvl w:val="0"/>
          <w:numId w:val="3"/>
        </w:numPr>
        <w:ind w:left="210" w:leftChars="100" w:firstLineChars="0"/>
        <w:jc w:val="left"/>
        <w:rPr>
          <w:sz w:val="28"/>
          <w:szCs w:val="28"/>
        </w:rPr>
      </w:pPr>
      <w:r>
        <w:rPr>
          <w:rFonts w:hint="eastAsia"/>
          <w:sz w:val="28"/>
          <w:szCs w:val="28"/>
        </w:rPr>
        <w:t>议价单列表</w:t>
      </w:r>
    </w:p>
    <w:p>
      <w:pPr>
        <w:ind w:firstLine="246"/>
        <w:jc w:val="left"/>
        <w:rPr>
          <w:sz w:val="28"/>
          <w:szCs w:val="28"/>
        </w:rPr>
      </w:pPr>
      <w:r>
        <w:rPr>
          <w:rFonts w:hint="eastAsia"/>
          <w:sz w:val="28"/>
          <w:szCs w:val="28"/>
        </w:rPr>
        <w:t>随之点击左侧菜单【</w:t>
      </w:r>
      <w:r>
        <w:rPr>
          <w:rFonts w:hint="eastAsia"/>
          <w:b/>
          <w:bCs/>
          <w:sz w:val="28"/>
          <w:szCs w:val="28"/>
        </w:rPr>
        <w:t>议价管理-议价单列表</w:t>
      </w:r>
      <w:r>
        <w:rPr>
          <w:rFonts w:hint="eastAsia"/>
          <w:sz w:val="28"/>
          <w:szCs w:val="28"/>
        </w:rPr>
        <w:t>】进入议价单列表查看页面，如图（3）所示。在议价管理中的议价单列表中可查看议价单的执行情况，包括如下相关执行情况：待处理、生效中、已作废</w:t>
      </w:r>
    </w:p>
    <w:p>
      <w:pPr>
        <w:rPr>
          <w:sz w:val="28"/>
          <w:szCs w:val="28"/>
        </w:rPr>
      </w:pPr>
      <w:r>
        <w:drawing>
          <wp:inline distT="0" distB="0" distL="0" distR="0">
            <wp:extent cx="5274310" cy="255460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554605"/>
                    </a:xfrm>
                    <a:prstGeom prst="rect">
                      <a:avLst/>
                    </a:prstGeom>
                  </pic:spPr>
                </pic:pic>
              </a:graphicData>
            </a:graphic>
          </wp:inline>
        </w:drawing>
      </w:r>
    </w:p>
    <w:p>
      <w:pPr>
        <w:ind w:firstLine="3360" w:firstLineChars="1200"/>
        <w:rPr>
          <w:sz w:val="28"/>
          <w:szCs w:val="28"/>
        </w:rPr>
      </w:pPr>
      <w:r>
        <w:rPr>
          <w:sz w:val="28"/>
          <w:szCs w:val="28"/>
        </w:rPr>
        <w:t>图</w:t>
      </w:r>
      <w:r>
        <w:rPr>
          <w:rFonts w:hint="eastAsia"/>
          <w:sz w:val="28"/>
          <w:szCs w:val="28"/>
        </w:rPr>
        <w:t>（3）</w:t>
      </w:r>
    </w:p>
    <w:p>
      <w:pPr>
        <w:rPr>
          <w:sz w:val="28"/>
          <w:szCs w:val="28"/>
        </w:rPr>
      </w:pPr>
      <w:r>
        <w:rPr>
          <w:rFonts w:hint="eastAsia"/>
          <w:color w:val="0000FF"/>
        </w:rPr>
        <w:drawing>
          <wp:inline distT="0" distB="0" distL="0" distR="0">
            <wp:extent cx="5274310" cy="253873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538730"/>
                    </a:xfrm>
                    <a:prstGeom prst="rect">
                      <a:avLst/>
                    </a:prstGeom>
                  </pic:spPr>
                </pic:pic>
              </a:graphicData>
            </a:graphic>
          </wp:inline>
        </w:drawing>
      </w:r>
    </w:p>
    <w:p>
      <w:pPr>
        <w:ind w:firstLine="3640" w:firstLineChars="1300"/>
        <w:rPr>
          <w:sz w:val="28"/>
          <w:szCs w:val="28"/>
        </w:rPr>
      </w:pPr>
      <w:r>
        <w:rPr>
          <w:sz w:val="28"/>
          <w:szCs w:val="28"/>
        </w:rPr>
        <w:t>图</w:t>
      </w:r>
      <w:r>
        <w:rPr>
          <w:rFonts w:hint="eastAsia"/>
          <w:sz w:val="28"/>
          <w:szCs w:val="28"/>
        </w:rPr>
        <w:t>（4）</w:t>
      </w:r>
    </w:p>
    <w:p>
      <w:pPr>
        <w:rPr>
          <w:color w:val="0000FF"/>
        </w:rPr>
      </w:pPr>
      <w:r>
        <w:rPr>
          <w:rFonts w:hint="eastAsia"/>
          <w:color w:val="0000FF"/>
        </w:rPr>
        <w:t>1</w:t>
      </w:r>
      <w:r>
        <w:rPr>
          <w:color w:val="0000FF"/>
        </w:rPr>
        <w:t>.</w:t>
      </w:r>
      <w:r>
        <w:rPr>
          <w:rFonts w:hint="eastAsia"/>
          <w:color w:val="0000FF"/>
        </w:rPr>
        <w:t>点击待处理议价单栏，可看到之前你提交的议价单。已提交的议价单可点击图（3）操作一栏的撤销按钮撤销议价单</w:t>
      </w:r>
    </w:p>
    <w:p>
      <w:pPr>
        <w:rPr>
          <w:color w:val="0000FF"/>
        </w:rPr>
      </w:pPr>
      <w:r>
        <w:rPr>
          <w:rFonts w:hint="eastAsia"/>
          <w:color w:val="0000FF"/>
        </w:rPr>
        <w:t>你可在图（4）操作一栏点击医院还价按钮，出现如图（5）所示页面。在议定价格一栏输入你想要的价格，随之点击还价按钮，即可完成还价，直至一方同意妥协</w:t>
      </w:r>
    </w:p>
    <w:p>
      <w:pPr>
        <w:rPr>
          <w:color w:val="0000FF"/>
        </w:rPr>
      </w:pPr>
      <w:r>
        <w:rPr>
          <w:color w:val="0000FF"/>
        </w:rPr>
        <w:t>也可直接在图</w:t>
      </w:r>
      <w:r>
        <w:rPr>
          <w:rFonts w:hint="eastAsia"/>
          <w:color w:val="0000FF"/>
        </w:rPr>
        <w:t>（4）</w:t>
      </w:r>
      <w:r>
        <w:rPr>
          <w:color w:val="0000FF"/>
        </w:rPr>
        <w:t>操作一栏点击同意或拒绝按钮</w:t>
      </w:r>
      <w:r>
        <w:rPr>
          <w:rFonts w:hint="eastAsia"/>
          <w:color w:val="0000FF"/>
        </w:rPr>
        <w:t>，</w:t>
      </w:r>
      <w:r>
        <w:rPr>
          <w:color w:val="0000FF"/>
        </w:rPr>
        <w:t>同意还价</w:t>
      </w:r>
      <w:r>
        <w:rPr>
          <w:rFonts w:hint="eastAsia"/>
          <w:color w:val="0000FF"/>
        </w:rPr>
        <w:t>，</w:t>
      </w:r>
      <w:r>
        <w:rPr>
          <w:color w:val="0000FF"/>
        </w:rPr>
        <w:t>则议价单生效</w:t>
      </w:r>
      <w:r>
        <w:rPr>
          <w:rFonts w:hint="eastAsia"/>
          <w:color w:val="0000FF"/>
        </w:rPr>
        <w:t>。</w:t>
      </w:r>
      <w:r>
        <w:rPr>
          <w:color w:val="0000FF"/>
        </w:rPr>
        <w:t>如果拒绝还价</w:t>
      </w:r>
      <w:r>
        <w:rPr>
          <w:rFonts w:hint="eastAsia"/>
          <w:color w:val="0000FF"/>
        </w:rPr>
        <w:t>，</w:t>
      </w:r>
      <w:r>
        <w:rPr>
          <w:color w:val="0000FF"/>
        </w:rPr>
        <w:t>则议价单作废</w:t>
      </w:r>
    </w:p>
    <w:p>
      <w:pPr>
        <w:rPr>
          <w:color w:val="0000FF"/>
        </w:rPr>
      </w:pPr>
      <w:r>
        <w:rPr>
          <w:rFonts w:hint="eastAsia"/>
          <w:color w:val="0000FF"/>
        </w:rPr>
        <w:drawing>
          <wp:inline distT="0" distB="0" distL="0" distR="0">
            <wp:extent cx="5274310" cy="254254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542540"/>
                    </a:xfrm>
                    <a:prstGeom prst="rect">
                      <a:avLst/>
                    </a:prstGeom>
                  </pic:spPr>
                </pic:pic>
              </a:graphicData>
            </a:graphic>
          </wp:inline>
        </w:drawing>
      </w:r>
    </w:p>
    <w:p>
      <w:pPr>
        <w:ind w:firstLine="3780" w:firstLineChars="1800"/>
        <w:rPr>
          <w:color w:val="0000FF"/>
        </w:rPr>
      </w:pPr>
      <w:r>
        <w:rPr>
          <w:color w:val="0000FF"/>
        </w:rPr>
        <w:t>图</w:t>
      </w:r>
      <w:r>
        <w:rPr>
          <w:rFonts w:hint="eastAsia"/>
          <w:color w:val="0000FF"/>
        </w:rPr>
        <w:t>（5）</w:t>
      </w:r>
    </w:p>
    <w:p>
      <w:pPr>
        <w:rPr>
          <w:color w:val="0000FF"/>
        </w:rPr>
      </w:pPr>
      <w:r>
        <w:rPr>
          <w:rFonts w:hint="eastAsia"/>
          <w:color w:val="0000FF"/>
        </w:rPr>
        <w:t>2</w:t>
      </w:r>
      <w:r>
        <w:rPr>
          <w:color w:val="0000FF"/>
        </w:rPr>
        <w:t>.点击生效中议价单栏</w:t>
      </w:r>
      <w:r>
        <w:rPr>
          <w:rFonts w:hint="eastAsia"/>
          <w:color w:val="0000FF"/>
        </w:rPr>
        <w:t>，</w:t>
      </w:r>
      <w:r>
        <w:rPr>
          <w:color w:val="0000FF"/>
        </w:rPr>
        <w:t>可看到生效中的议价单</w:t>
      </w:r>
      <w:r>
        <w:rPr>
          <w:rFonts w:hint="eastAsia"/>
          <w:color w:val="0000FF"/>
        </w:rPr>
        <w:t>，</w:t>
      </w:r>
      <w:r>
        <w:rPr>
          <w:color w:val="0000FF"/>
        </w:rPr>
        <w:t>如图</w:t>
      </w:r>
      <w:r>
        <w:rPr>
          <w:rFonts w:hint="eastAsia"/>
          <w:color w:val="0000FF"/>
        </w:rPr>
        <w:t>（6）</w:t>
      </w:r>
      <w:r>
        <w:rPr>
          <w:color w:val="0000FF"/>
        </w:rPr>
        <w:t>所示</w:t>
      </w:r>
      <w:r>
        <w:rPr>
          <w:rFonts w:hint="eastAsia"/>
          <w:color w:val="0000FF"/>
        </w:rPr>
        <w:t>，</w:t>
      </w:r>
      <w:r>
        <w:rPr>
          <w:color w:val="0000FF"/>
        </w:rPr>
        <w:t>在图</w:t>
      </w:r>
      <w:r>
        <w:rPr>
          <w:rFonts w:hint="eastAsia"/>
          <w:color w:val="0000FF"/>
        </w:rPr>
        <w:t>（6）</w:t>
      </w:r>
      <w:r>
        <w:rPr>
          <w:color w:val="0000FF"/>
        </w:rPr>
        <w:t>操作一栏点击解除议价单按钮可解除议价单</w:t>
      </w:r>
      <w:r>
        <w:rPr>
          <w:rFonts w:hint="eastAsia"/>
          <w:color w:val="0000FF"/>
        </w:rPr>
        <w:t>，</w:t>
      </w:r>
      <w:r>
        <w:rPr>
          <w:color w:val="0000FF"/>
        </w:rPr>
        <w:t>等待另一方同意解除或者拒绝解除</w:t>
      </w:r>
      <w:r>
        <w:rPr>
          <w:rFonts w:hint="eastAsia"/>
          <w:color w:val="0000FF"/>
        </w:rPr>
        <w:t>，</w:t>
      </w:r>
      <w:r>
        <w:rPr>
          <w:color w:val="0000FF"/>
        </w:rPr>
        <w:t>另一方同意解除</w:t>
      </w:r>
      <w:r>
        <w:rPr>
          <w:rFonts w:hint="eastAsia"/>
          <w:color w:val="0000FF"/>
        </w:rPr>
        <w:t>，</w:t>
      </w:r>
      <w:r>
        <w:rPr>
          <w:color w:val="0000FF"/>
        </w:rPr>
        <w:t>则议价单作废</w:t>
      </w:r>
    </w:p>
    <w:p>
      <w:pPr>
        <w:ind w:left="3990" w:hanging="3990" w:hangingChars="1900"/>
        <w:rPr>
          <w:color w:val="0000FF"/>
        </w:rPr>
      </w:pPr>
      <w:r>
        <w:rPr>
          <w:rFonts w:hint="eastAsia"/>
          <w:color w:val="0000FF"/>
        </w:rPr>
        <w:drawing>
          <wp:inline distT="0" distB="0" distL="0" distR="0">
            <wp:extent cx="5274310" cy="2602230"/>
            <wp:effectExtent l="0" t="0" r="254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602230"/>
                    </a:xfrm>
                    <a:prstGeom prst="rect">
                      <a:avLst/>
                    </a:prstGeom>
                  </pic:spPr>
                </pic:pic>
              </a:graphicData>
            </a:graphic>
          </wp:inline>
        </w:drawing>
      </w:r>
      <w:r>
        <w:rPr>
          <w:rFonts w:hint="eastAsia"/>
          <w:color w:val="0000FF"/>
        </w:rPr>
        <w:t>图（6）</w:t>
      </w:r>
    </w:p>
    <w:p>
      <w:pPr>
        <w:rPr>
          <w:color w:val="0000FF"/>
        </w:rPr>
      </w:pPr>
      <w:r>
        <w:rPr>
          <w:color w:val="0000FF"/>
        </w:rPr>
        <w:t>3.点击</w:t>
      </w:r>
      <w:r>
        <w:rPr>
          <w:rFonts w:hint="eastAsia"/>
          <w:color w:val="0000FF"/>
        </w:rPr>
        <w:t>已作废</w:t>
      </w:r>
      <w:r>
        <w:rPr>
          <w:color w:val="0000FF"/>
        </w:rPr>
        <w:t>议价单栏</w:t>
      </w:r>
      <w:r>
        <w:rPr>
          <w:rFonts w:hint="eastAsia"/>
          <w:color w:val="0000FF"/>
        </w:rPr>
        <w:t>，</w:t>
      </w:r>
      <w:r>
        <w:rPr>
          <w:color w:val="0000FF"/>
        </w:rPr>
        <w:t>可看到</w:t>
      </w:r>
      <w:r>
        <w:rPr>
          <w:rFonts w:hint="eastAsia"/>
          <w:color w:val="0000FF"/>
        </w:rPr>
        <w:t>已</w:t>
      </w:r>
      <w:r>
        <w:rPr>
          <w:color w:val="0000FF"/>
        </w:rPr>
        <w:t>撤销的议价单</w:t>
      </w:r>
      <w:r>
        <w:rPr>
          <w:rFonts w:hint="eastAsia"/>
          <w:color w:val="0000FF"/>
        </w:rPr>
        <w:t>，</w:t>
      </w:r>
      <w:r>
        <w:rPr>
          <w:color w:val="0000FF"/>
        </w:rPr>
        <w:t>如图</w:t>
      </w:r>
      <w:r>
        <w:rPr>
          <w:rFonts w:hint="eastAsia"/>
          <w:color w:val="0000FF"/>
        </w:rPr>
        <w:t>（</w:t>
      </w:r>
      <w:r>
        <w:rPr>
          <w:color w:val="0000FF"/>
        </w:rPr>
        <w:t>7</w:t>
      </w:r>
      <w:r>
        <w:rPr>
          <w:rFonts w:hint="eastAsia"/>
          <w:color w:val="0000FF"/>
        </w:rPr>
        <w:t>）</w:t>
      </w:r>
      <w:r>
        <w:rPr>
          <w:color w:val="0000FF"/>
        </w:rPr>
        <w:t>所示</w:t>
      </w:r>
    </w:p>
    <w:p>
      <w:r>
        <w:rPr>
          <w:rFonts w:hint="eastAsia"/>
        </w:rPr>
        <w:drawing>
          <wp:inline distT="0" distB="0" distL="0" distR="0">
            <wp:extent cx="5274310" cy="2533015"/>
            <wp:effectExtent l="0" t="0" r="254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533015"/>
                    </a:xfrm>
                    <a:prstGeom prst="rect">
                      <a:avLst/>
                    </a:prstGeom>
                  </pic:spPr>
                </pic:pic>
              </a:graphicData>
            </a:graphic>
          </wp:inline>
        </w:drawing>
      </w:r>
    </w:p>
    <w:p>
      <w:pPr>
        <w:ind w:firstLine="3570" w:firstLineChars="1700"/>
      </w:pPr>
      <w:r>
        <w:t>图</w:t>
      </w:r>
      <w:r>
        <w:rPr>
          <w:rFonts w:hint="eastAsia"/>
        </w:rPr>
        <w:t>（</w:t>
      </w:r>
      <w:r>
        <w:t>7</w:t>
      </w:r>
      <w:r>
        <w:rPr>
          <w:rFonts w:hint="eastAsia"/>
        </w:rPr>
        <w:t>）</w:t>
      </w:r>
    </w:p>
    <w:p>
      <w:pPr>
        <w:pStyle w:val="3"/>
        <w:numPr>
          <w:ilvl w:val="0"/>
          <w:numId w:val="0"/>
        </w:numPr>
      </w:pPr>
      <w:r>
        <w:rPr>
          <w:rFonts w:hint="eastAsia"/>
        </w:rPr>
        <w:t>1</w:t>
      </w:r>
      <w:r>
        <w:t>.2</w:t>
      </w:r>
      <w:r>
        <w:rPr>
          <w:rFonts w:hint="eastAsia"/>
        </w:rPr>
        <w:t>生产企业议价</w:t>
      </w:r>
      <w:r>
        <w:t>管理</w:t>
      </w:r>
    </w:p>
    <w:p>
      <w:pPr>
        <w:pStyle w:val="11"/>
        <w:numPr>
          <w:ilvl w:val="1"/>
          <w:numId w:val="4"/>
        </w:numPr>
        <w:ind w:firstLineChars="0"/>
        <w:jc w:val="left"/>
        <w:rPr>
          <w:sz w:val="28"/>
          <w:szCs w:val="28"/>
        </w:rPr>
      </w:pPr>
      <w:r>
        <w:rPr>
          <w:rFonts w:hint="eastAsia"/>
          <w:sz w:val="28"/>
          <w:szCs w:val="28"/>
        </w:rPr>
        <w:t>系统功能说明</w:t>
      </w:r>
    </w:p>
    <w:p>
      <w:pPr>
        <w:pStyle w:val="11"/>
        <w:ind w:left="210" w:leftChars="100" w:firstLine="0" w:firstLineChars="0"/>
        <w:jc w:val="left"/>
        <w:rPr>
          <w:sz w:val="28"/>
          <w:szCs w:val="28"/>
        </w:rPr>
      </w:pPr>
      <w:r>
        <w:rPr>
          <w:rFonts w:hint="eastAsia"/>
          <w:sz w:val="28"/>
          <w:szCs w:val="28"/>
        </w:rPr>
        <w:t>议价管理主要是处理医疗机构发起的议价申请以及查看议价单。</w:t>
      </w:r>
    </w:p>
    <w:p>
      <w:pPr>
        <w:pStyle w:val="11"/>
        <w:numPr>
          <w:ilvl w:val="1"/>
          <w:numId w:val="1"/>
        </w:numPr>
        <w:ind w:firstLineChars="0"/>
        <w:jc w:val="left"/>
        <w:rPr>
          <w:sz w:val="28"/>
          <w:szCs w:val="28"/>
        </w:rPr>
      </w:pPr>
      <w:r>
        <w:rPr>
          <w:rFonts w:hint="eastAsia"/>
          <w:sz w:val="28"/>
          <w:szCs w:val="28"/>
        </w:rPr>
        <w:t>系统操作说明</w:t>
      </w:r>
    </w:p>
    <w:p>
      <w:pPr>
        <w:pStyle w:val="11"/>
        <w:numPr>
          <w:ilvl w:val="0"/>
          <w:numId w:val="3"/>
        </w:numPr>
        <w:ind w:left="210" w:leftChars="100" w:firstLineChars="0"/>
        <w:jc w:val="left"/>
        <w:rPr>
          <w:sz w:val="28"/>
          <w:szCs w:val="28"/>
        </w:rPr>
      </w:pPr>
      <w:r>
        <w:rPr>
          <w:rFonts w:hint="eastAsia"/>
          <w:sz w:val="28"/>
          <w:szCs w:val="28"/>
        </w:rPr>
        <w:t>议价单列表</w:t>
      </w:r>
    </w:p>
    <w:p>
      <w:r>
        <w:rPr>
          <w:rFonts w:hint="eastAsia"/>
          <w:sz w:val="28"/>
          <w:szCs w:val="28"/>
        </w:rPr>
        <w:t>点击左侧菜单【</w:t>
      </w:r>
      <w:r>
        <w:rPr>
          <w:rFonts w:hint="eastAsia"/>
          <w:b/>
          <w:bCs/>
          <w:sz w:val="28"/>
          <w:szCs w:val="28"/>
        </w:rPr>
        <w:t>议价管理-议价单列表</w:t>
      </w:r>
      <w:r>
        <w:rPr>
          <w:rFonts w:hint="eastAsia"/>
          <w:sz w:val="28"/>
          <w:szCs w:val="28"/>
        </w:rPr>
        <w:t>】进入议价单列表查看页面</w:t>
      </w:r>
    </w:p>
    <w:p>
      <w:r>
        <w:drawing>
          <wp:inline distT="0" distB="0" distL="0" distR="0">
            <wp:extent cx="5274310" cy="261175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4310" cy="2611755"/>
                    </a:xfrm>
                    <a:prstGeom prst="rect">
                      <a:avLst/>
                    </a:prstGeom>
                  </pic:spPr>
                </pic:pic>
              </a:graphicData>
            </a:graphic>
          </wp:inline>
        </w:drawing>
      </w:r>
    </w:p>
    <w:p>
      <w:pPr>
        <w:ind w:firstLine="3570" w:firstLineChars="1700"/>
      </w:pPr>
      <w:r>
        <w:t>图</w:t>
      </w:r>
      <w:r>
        <w:rPr>
          <w:rFonts w:hint="eastAsia"/>
        </w:rPr>
        <w:t>（</w:t>
      </w:r>
      <w:r>
        <w:t>8</w:t>
      </w:r>
      <w:r>
        <w:rPr>
          <w:rFonts w:hint="eastAsia"/>
        </w:rPr>
        <w:t>）</w:t>
      </w:r>
    </w:p>
    <w:p>
      <w:pPr>
        <w:rPr>
          <w:color w:val="0000FF"/>
        </w:rPr>
      </w:pPr>
      <w:r>
        <w:rPr>
          <w:rFonts w:hint="eastAsia"/>
          <w:color w:val="0000FF"/>
        </w:rPr>
        <w:t>1</w:t>
      </w:r>
      <w:r>
        <w:rPr>
          <w:color w:val="0000FF"/>
        </w:rPr>
        <w:t>.</w:t>
      </w:r>
      <w:r>
        <w:rPr>
          <w:rFonts w:hint="eastAsia"/>
          <w:color w:val="0000FF"/>
        </w:rPr>
        <w:t>点击待处理议价单栏，可看到医疗机构提交的议价单。</w:t>
      </w:r>
    </w:p>
    <w:p>
      <w:pPr>
        <w:rPr>
          <w:color w:val="0000FF"/>
        </w:rPr>
      </w:pPr>
      <w:r>
        <w:rPr>
          <w:rFonts w:hint="eastAsia"/>
          <w:color w:val="0000FF"/>
        </w:rPr>
        <w:t>你可在图（</w:t>
      </w:r>
      <w:r>
        <w:rPr>
          <w:color w:val="0000FF"/>
        </w:rPr>
        <w:t>8</w:t>
      </w:r>
      <w:r>
        <w:rPr>
          <w:rFonts w:hint="eastAsia"/>
          <w:color w:val="0000FF"/>
        </w:rPr>
        <w:t>）操作一栏点击企业还价按钮，出现如图（</w:t>
      </w:r>
      <w:r>
        <w:rPr>
          <w:color w:val="0000FF"/>
        </w:rPr>
        <w:t>9</w:t>
      </w:r>
      <w:r>
        <w:rPr>
          <w:rFonts w:hint="eastAsia"/>
          <w:color w:val="0000FF"/>
        </w:rPr>
        <w:t>）所示页面。在议定价格一栏输入你想还价的价格，随之点击还价按钮，即可完成还价，直至一方同意妥协</w:t>
      </w:r>
    </w:p>
    <w:p>
      <w:pPr>
        <w:rPr>
          <w:color w:val="0000FF"/>
        </w:rPr>
      </w:pPr>
      <w:r>
        <w:rPr>
          <w:color w:val="0000FF"/>
        </w:rPr>
        <w:t>也可直接在图</w:t>
      </w:r>
      <w:r>
        <w:rPr>
          <w:rFonts w:hint="eastAsia"/>
          <w:color w:val="0000FF"/>
        </w:rPr>
        <w:t>（</w:t>
      </w:r>
      <w:r>
        <w:rPr>
          <w:color w:val="0000FF"/>
        </w:rPr>
        <w:t>8</w:t>
      </w:r>
      <w:r>
        <w:rPr>
          <w:rFonts w:hint="eastAsia"/>
          <w:color w:val="0000FF"/>
        </w:rPr>
        <w:t>）</w:t>
      </w:r>
      <w:r>
        <w:rPr>
          <w:color w:val="0000FF"/>
        </w:rPr>
        <w:t>操作一栏点击同意或拒绝按钮</w:t>
      </w:r>
      <w:r>
        <w:rPr>
          <w:rFonts w:hint="eastAsia"/>
          <w:color w:val="0000FF"/>
        </w:rPr>
        <w:t>，</w:t>
      </w:r>
      <w:r>
        <w:rPr>
          <w:color w:val="0000FF"/>
        </w:rPr>
        <w:t>同意还价</w:t>
      </w:r>
      <w:r>
        <w:rPr>
          <w:rFonts w:hint="eastAsia"/>
          <w:color w:val="0000FF"/>
        </w:rPr>
        <w:t>，</w:t>
      </w:r>
      <w:r>
        <w:rPr>
          <w:color w:val="0000FF"/>
        </w:rPr>
        <w:t>则议价单生效</w:t>
      </w:r>
      <w:r>
        <w:rPr>
          <w:rFonts w:hint="eastAsia"/>
          <w:color w:val="0000FF"/>
        </w:rPr>
        <w:t>。</w:t>
      </w:r>
      <w:r>
        <w:rPr>
          <w:color w:val="0000FF"/>
        </w:rPr>
        <w:t>如果拒绝还价</w:t>
      </w:r>
      <w:r>
        <w:rPr>
          <w:rFonts w:hint="eastAsia"/>
          <w:color w:val="0000FF"/>
        </w:rPr>
        <w:t>，</w:t>
      </w:r>
      <w:r>
        <w:rPr>
          <w:color w:val="0000FF"/>
        </w:rPr>
        <w:t>则议价单作废</w:t>
      </w:r>
    </w:p>
    <w:p>
      <w:r>
        <w:rPr>
          <w:rFonts w:hint="eastAsia"/>
        </w:rPr>
        <w:drawing>
          <wp:inline distT="0" distB="0" distL="0" distR="0">
            <wp:extent cx="5274310" cy="261556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615565"/>
                    </a:xfrm>
                    <a:prstGeom prst="rect">
                      <a:avLst/>
                    </a:prstGeom>
                  </pic:spPr>
                </pic:pic>
              </a:graphicData>
            </a:graphic>
          </wp:inline>
        </w:drawing>
      </w:r>
    </w:p>
    <w:p>
      <w:pPr>
        <w:ind w:firstLine="3990" w:firstLineChars="1900"/>
      </w:pPr>
      <w:r>
        <w:t>图</w:t>
      </w:r>
      <w:r>
        <w:rPr>
          <w:rFonts w:hint="eastAsia"/>
        </w:rPr>
        <w:t>（9）</w:t>
      </w:r>
    </w:p>
    <w:p>
      <w:pPr>
        <w:rPr>
          <w:color w:val="0000FF"/>
        </w:rPr>
      </w:pPr>
      <w:r>
        <w:rPr>
          <w:rFonts w:hint="eastAsia"/>
          <w:color w:val="0000FF"/>
        </w:rPr>
        <w:t>2</w:t>
      </w:r>
      <w:r>
        <w:rPr>
          <w:color w:val="0000FF"/>
        </w:rPr>
        <w:t>.点击生效中议价单栏</w:t>
      </w:r>
      <w:r>
        <w:rPr>
          <w:rFonts w:hint="eastAsia"/>
          <w:color w:val="0000FF"/>
        </w:rPr>
        <w:t>，</w:t>
      </w:r>
      <w:r>
        <w:rPr>
          <w:color w:val="0000FF"/>
        </w:rPr>
        <w:t>可看到生效中的议价单</w:t>
      </w:r>
      <w:r>
        <w:rPr>
          <w:rFonts w:hint="eastAsia"/>
          <w:color w:val="0000FF"/>
        </w:rPr>
        <w:t>，</w:t>
      </w:r>
      <w:r>
        <w:rPr>
          <w:color w:val="0000FF"/>
        </w:rPr>
        <w:t>如图</w:t>
      </w:r>
      <w:r>
        <w:rPr>
          <w:rFonts w:hint="eastAsia"/>
          <w:color w:val="0000FF"/>
        </w:rPr>
        <w:t>（</w:t>
      </w:r>
      <w:r>
        <w:rPr>
          <w:color w:val="0000FF"/>
        </w:rPr>
        <w:t>10</w:t>
      </w:r>
      <w:r>
        <w:rPr>
          <w:rFonts w:hint="eastAsia"/>
          <w:color w:val="0000FF"/>
        </w:rPr>
        <w:t>）</w:t>
      </w:r>
      <w:r>
        <w:rPr>
          <w:color w:val="0000FF"/>
        </w:rPr>
        <w:t>所示</w:t>
      </w:r>
      <w:r>
        <w:rPr>
          <w:rFonts w:hint="eastAsia"/>
          <w:color w:val="0000FF"/>
        </w:rPr>
        <w:t>，</w:t>
      </w:r>
      <w:r>
        <w:rPr>
          <w:color w:val="0000FF"/>
        </w:rPr>
        <w:t>在图</w:t>
      </w:r>
      <w:r>
        <w:rPr>
          <w:rFonts w:hint="eastAsia"/>
          <w:color w:val="0000FF"/>
        </w:rPr>
        <w:t>（</w:t>
      </w:r>
      <w:r>
        <w:rPr>
          <w:color w:val="0000FF"/>
        </w:rPr>
        <w:t>10</w:t>
      </w:r>
      <w:r>
        <w:rPr>
          <w:rFonts w:hint="eastAsia"/>
          <w:color w:val="0000FF"/>
        </w:rPr>
        <w:t>）</w:t>
      </w:r>
      <w:r>
        <w:rPr>
          <w:color w:val="0000FF"/>
        </w:rPr>
        <w:t>操作一栏点击解除议价单按钮可解除议价单</w:t>
      </w:r>
      <w:r>
        <w:rPr>
          <w:rFonts w:hint="eastAsia"/>
          <w:color w:val="0000FF"/>
        </w:rPr>
        <w:t>，</w:t>
      </w:r>
      <w:r>
        <w:rPr>
          <w:color w:val="0000FF"/>
        </w:rPr>
        <w:t>等待另一方同意解除或者拒绝解除</w:t>
      </w:r>
      <w:r>
        <w:rPr>
          <w:rFonts w:hint="eastAsia"/>
          <w:color w:val="0000FF"/>
        </w:rPr>
        <w:t>，</w:t>
      </w:r>
      <w:r>
        <w:rPr>
          <w:color w:val="0000FF"/>
        </w:rPr>
        <w:t>另一方同意解除</w:t>
      </w:r>
      <w:r>
        <w:rPr>
          <w:rFonts w:hint="eastAsia"/>
          <w:color w:val="0000FF"/>
        </w:rPr>
        <w:t>，</w:t>
      </w:r>
      <w:r>
        <w:rPr>
          <w:color w:val="0000FF"/>
        </w:rPr>
        <w:t>则议价单作废</w:t>
      </w:r>
    </w:p>
    <w:p>
      <w:pPr>
        <w:rPr>
          <w:color w:val="0000FF"/>
        </w:rPr>
      </w:pPr>
      <w:r>
        <w:rPr>
          <w:rFonts w:hint="eastAsia"/>
          <w:color w:val="0000FF"/>
        </w:rPr>
        <w:drawing>
          <wp:inline distT="0" distB="0" distL="0" distR="0">
            <wp:extent cx="5274310" cy="2627630"/>
            <wp:effectExtent l="0" t="0" r="254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627630"/>
                    </a:xfrm>
                    <a:prstGeom prst="rect">
                      <a:avLst/>
                    </a:prstGeom>
                  </pic:spPr>
                </pic:pic>
              </a:graphicData>
            </a:graphic>
          </wp:inline>
        </w:drawing>
      </w:r>
    </w:p>
    <w:p>
      <w:pPr>
        <w:ind w:firstLine="3780" w:firstLineChars="1800"/>
        <w:rPr>
          <w:color w:val="0000FF"/>
        </w:rPr>
      </w:pPr>
      <w:r>
        <w:rPr>
          <w:color w:val="0000FF"/>
        </w:rPr>
        <w:t>图</w:t>
      </w:r>
      <w:r>
        <w:rPr>
          <w:rFonts w:hint="eastAsia"/>
          <w:color w:val="0000FF"/>
        </w:rPr>
        <w:t>（</w:t>
      </w:r>
      <w:r>
        <w:rPr>
          <w:color w:val="0000FF"/>
        </w:rPr>
        <w:t>10</w:t>
      </w:r>
      <w:r>
        <w:rPr>
          <w:rFonts w:hint="eastAsia"/>
          <w:color w:val="0000FF"/>
        </w:rPr>
        <w:t>）</w:t>
      </w:r>
    </w:p>
    <w:p>
      <w:pPr>
        <w:rPr>
          <w:color w:val="0000FF"/>
        </w:rPr>
      </w:pPr>
      <w:r>
        <w:rPr>
          <w:color w:val="0000FF"/>
        </w:rPr>
        <w:t>3.点击</w:t>
      </w:r>
      <w:r>
        <w:rPr>
          <w:rFonts w:hint="eastAsia"/>
          <w:color w:val="0000FF"/>
        </w:rPr>
        <w:t>已作废</w:t>
      </w:r>
      <w:r>
        <w:rPr>
          <w:color w:val="0000FF"/>
        </w:rPr>
        <w:t>议价单栏</w:t>
      </w:r>
      <w:r>
        <w:rPr>
          <w:rFonts w:hint="eastAsia"/>
          <w:color w:val="0000FF"/>
        </w:rPr>
        <w:t>，</w:t>
      </w:r>
      <w:r>
        <w:rPr>
          <w:color w:val="0000FF"/>
        </w:rPr>
        <w:t>可看到</w:t>
      </w:r>
      <w:r>
        <w:rPr>
          <w:rFonts w:hint="eastAsia"/>
          <w:color w:val="0000FF"/>
        </w:rPr>
        <w:t>已</w:t>
      </w:r>
      <w:r>
        <w:rPr>
          <w:color w:val="0000FF"/>
        </w:rPr>
        <w:t>撤销的议价单</w:t>
      </w:r>
      <w:r>
        <w:rPr>
          <w:rFonts w:hint="eastAsia"/>
          <w:color w:val="0000FF"/>
        </w:rPr>
        <w:t>，</w:t>
      </w:r>
      <w:r>
        <w:rPr>
          <w:color w:val="0000FF"/>
        </w:rPr>
        <w:t>如图</w:t>
      </w:r>
      <w:r>
        <w:rPr>
          <w:rFonts w:hint="eastAsia"/>
          <w:color w:val="0000FF"/>
        </w:rPr>
        <w:t>（</w:t>
      </w:r>
      <w:r>
        <w:rPr>
          <w:color w:val="0000FF"/>
        </w:rPr>
        <w:t>11</w:t>
      </w:r>
      <w:r>
        <w:rPr>
          <w:rFonts w:hint="eastAsia"/>
          <w:color w:val="0000FF"/>
        </w:rPr>
        <w:t>）</w:t>
      </w:r>
      <w:r>
        <w:rPr>
          <w:color w:val="0000FF"/>
        </w:rPr>
        <w:t>所示</w:t>
      </w:r>
    </w:p>
    <w:p>
      <w:r>
        <w:rPr>
          <w:rFonts w:hint="eastAsia"/>
        </w:rPr>
        <w:drawing>
          <wp:inline distT="0" distB="0" distL="0" distR="0">
            <wp:extent cx="5274310" cy="261366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613660"/>
                    </a:xfrm>
                    <a:prstGeom prst="rect">
                      <a:avLst/>
                    </a:prstGeom>
                  </pic:spPr>
                </pic:pic>
              </a:graphicData>
            </a:graphic>
          </wp:inline>
        </w:drawing>
      </w:r>
    </w:p>
    <w:p>
      <w:pPr>
        <w:ind w:firstLine="3780" w:firstLineChars="1800"/>
      </w:pPr>
      <w:r>
        <w:t>图</w:t>
      </w:r>
      <w:r>
        <w:rPr>
          <w:rFonts w:hint="eastAsia"/>
        </w:rPr>
        <w:t>（</w:t>
      </w:r>
      <w:r>
        <w:t>11</w:t>
      </w:r>
      <w:r>
        <w:rPr>
          <w:rFonts w:hint="eastAsia"/>
        </w:rPr>
        <w:t>）</w:t>
      </w:r>
    </w:p>
    <w:p>
      <w:pPr>
        <w:pStyle w:val="11"/>
        <w:numPr>
          <w:ilvl w:val="0"/>
          <w:numId w:val="3"/>
        </w:numPr>
        <w:ind w:left="210" w:leftChars="100" w:firstLineChars="0"/>
        <w:jc w:val="left"/>
        <w:rPr>
          <w:sz w:val="28"/>
          <w:szCs w:val="28"/>
        </w:rPr>
      </w:pPr>
      <w:r>
        <w:rPr>
          <w:rFonts w:hint="eastAsia"/>
          <w:sz w:val="28"/>
          <w:szCs w:val="28"/>
        </w:rPr>
        <w:t>议价药价格管理</w:t>
      </w:r>
    </w:p>
    <w:p>
      <w:r>
        <w:rPr>
          <w:rFonts w:hint="eastAsia"/>
          <w:sz w:val="28"/>
          <w:szCs w:val="28"/>
        </w:rPr>
        <w:t>点击左侧菜单【</w:t>
      </w:r>
      <w:r>
        <w:rPr>
          <w:rFonts w:hint="eastAsia"/>
          <w:b/>
          <w:bCs/>
          <w:sz w:val="28"/>
          <w:szCs w:val="28"/>
        </w:rPr>
        <w:t>议价管理-议价药价格管理</w:t>
      </w:r>
      <w:r>
        <w:rPr>
          <w:rFonts w:hint="eastAsia"/>
          <w:sz w:val="28"/>
          <w:szCs w:val="28"/>
        </w:rPr>
        <w:t>】进入议价药价格管理列表查看页面，如图（</w:t>
      </w:r>
      <w:r>
        <w:rPr>
          <w:sz w:val="28"/>
          <w:szCs w:val="28"/>
        </w:rPr>
        <w:t>12</w:t>
      </w:r>
      <w:r>
        <w:rPr>
          <w:rFonts w:hint="eastAsia"/>
          <w:sz w:val="28"/>
          <w:szCs w:val="28"/>
        </w:rPr>
        <w:t>）所示</w:t>
      </w:r>
    </w:p>
    <w:p>
      <w:r>
        <w:drawing>
          <wp:inline distT="0" distB="0" distL="0" distR="0">
            <wp:extent cx="5274310" cy="261747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617470"/>
                    </a:xfrm>
                    <a:prstGeom prst="rect">
                      <a:avLst/>
                    </a:prstGeom>
                  </pic:spPr>
                </pic:pic>
              </a:graphicData>
            </a:graphic>
          </wp:inline>
        </w:drawing>
      </w:r>
    </w:p>
    <w:p>
      <w:pPr>
        <w:ind w:firstLine="3780" w:firstLineChars="1800"/>
      </w:pPr>
      <w:r>
        <w:rPr>
          <w:rFonts w:hint="eastAsia"/>
        </w:rPr>
        <w:t>图（1</w:t>
      </w:r>
      <w:r>
        <w:t>2</w:t>
      </w:r>
      <w:r>
        <w:rPr>
          <w:rFonts w:hint="eastAsia"/>
        </w:rPr>
        <w:t>）</w:t>
      </w:r>
    </w:p>
    <w:p>
      <w:r>
        <w:t>在图</w:t>
      </w:r>
      <w:r>
        <w:rPr>
          <w:rFonts w:hint="eastAsia"/>
        </w:rPr>
        <w:t>（</w:t>
      </w:r>
      <w:r>
        <w:t>12</w:t>
      </w:r>
      <w:r>
        <w:rPr>
          <w:rFonts w:hint="eastAsia"/>
        </w:rPr>
        <w:t>）的参考价一列生产企业可输入自己的意向价，输入确认无误后，点击图（1</w:t>
      </w:r>
      <w:r>
        <w:t>2</w:t>
      </w:r>
      <w:r>
        <w:rPr>
          <w:rFonts w:hint="eastAsia"/>
        </w:rPr>
        <w:t>）的保存按钮即可。</w:t>
      </w:r>
    </w:p>
    <w:p>
      <w:pPr>
        <w:rPr>
          <w:color w:val="FF0000"/>
        </w:rPr>
      </w:pPr>
      <w:r>
        <w:rPr>
          <w:color w:val="FF0000"/>
        </w:rPr>
        <w:t>说明</w:t>
      </w:r>
      <w:r>
        <w:rPr>
          <w:rFonts w:hint="eastAsia"/>
          <w:color w:val="FF0000"/>
        </w:rPr>
        <w:t>：</w:t>
      </w:r>
      <w:r>
        <w:rPr>
          <w:color w:val="FF0000"/>
        </w:rPr>
        <w:t>1.企业设置的参考价不能高于挂网价</w:t>
      </w:r>
      <w:r>
        <w:rPr>
          <w:rFonts w:hint="eastAsia"/>
          <w:color w:val="FF0000"/>
        </w:rPr>
        <w:t>（无挂网价除外）。</w:t>
      </w:r>
    </w:p>
    <w:p>
      <w:pPr>
        <w:ind w:firstLine="630" w:firstLineChars="300"/>
        <w:rPr>
          <w:color w:val="FF0000"/>
        </w:rPr>
      </w:pPr>
      <w:r>
        <w:rPr>
          <w:color w:val="FF0000"/>
        </w:rPr>
        <w:t>2.若医疗机构议价录入时输入的议定价格高于或等于企业设置的参考价</w:t>
      </w:r>
      <w:r>
        <w:rPr>
          <w:rFonts w:hint="eastAsia"/>
          <w:color w:val="FF0000"/>
        </w:rPr>
        <w:t>，</w:t>
      </w:r>
      <w:r>
        <w:rPr>
          <w:color w:val="FF0000"/>
        </w:rPr>
        <w:t>则议价单直接生效</w:t>
      </w:r>
      <w:r>
        <w:rPr>
          <w:rFonts w:hint="eastAsia"/>
          <w:color w:val="FF0000"/>
        </w:rPr>
        <w:t>，</w:t>
      </w:r>
      <w:r>
        <w:rPr>
          <w:color w:val="FF0000"/>
        </w:rPr>
        <w:t>否则需要</w:t>
      </w:r>
      <w:r>
        <w:rPr>
          <w:rFonts w:hint="eastAsia"/>
          <w:color w:val="FF0000"/>
        </w:rPr>
        <w:t>医疗机构和企业双方进行还价，直至一方同意。</w:t>
      </w:r>
    </w:p>
    <w:p>
      <w:pPr>
        <w:rPr>
          <w:color w:val="FF0000"/>
        </w:rPr>
      </w:pPr>
      <w:r>
        <w:rPr>
          <w:rFonts w:hint="eastAsia"/>
          <w:color w:val="FF0000"/>
        </w:rPr>
        <w:t xml:space="preserve"> </w:t>
      </w:r>
      <w:r>
        <w:rPr>
          <w:color w:val="FF0000"/>
        </w:rPr>
        <w:t xml:space="preserve">     </w:t>
      </w:r>
      <w:r>
        <w:rPr>
          <w:rFonts w:hint="eastAsia"/>
          <w:color w:val="FF0000"/>
        </w:rPr>
        <w:t xml:space="preserve"> </w:t>
      </w:r>
      <w:r>
        <w:rPr>
          <w:color w:val="FF0000"/>
        </w:rPr>
        <w:t xml:space="preserve">   </w:t>
      </w:r>
    </w:p>
    <w:p>
      <w:pPr>
        <w:rPr>
          <w:color w:val="FF0000"/>
        </w:rPr>
      </w:pPr>
      <w:r>
        <w:rPr>
          <w:rFonts w:hint="eastAsia"/>
          <w:color w:val="FF0000"/>
        </w:rPr>
        <w:t xml:space="preserve"> </w:t>
      </w:r>
      <w:r>
        <w:rPr>
          <w:color w:val="FF0000"/>
        </w:rPr>
        <w:t xml:space="preserve">     </w:t>
      </w:r>
    </w:p>
    <w:p>
      <w:pPr>
        <w:pStyle w:val="3"/>
        <w:numPr>
          <w:ilvl w:val="0"/>
          <w:numId w:val="0"/>
        </w:numPr>
      </w:pPr>
      <w:r>
        <w:rPr>
          <w:rFonts w:hint="eastAsia"/>
        </w:rPr>
        <w:t>1</w:t>
      </w:r>
      <w:r>
        <w:t>.3</w:t>
      </w:r>
      <w:r>
        <w:rPr>
          <w:rFonts w:hint="eastAsia"/>
        </w:rPr>
        <w:t>配送企业议价</w:t>
      </w:r>
      <w:r>
        <w:t>管理</w:t>
      </w:r>
    </w:p>
    <w:p>
      <w:pPr>
        <w:ind w:left="283"/>
        <w:jc w:val="left"/>
        <w:rPr>
          <w:color w:val="FF0000"/>
          <w:sz w:val="28"/>
          <w:szCs w:val="28"/>
        </w:rPr>
      </w:pPr>
      <w:r>
        <w:rPr>
          <w:color w:val="FF0000"/>
          <w:sz w:val="28"/>
          <w:szCs w:val="28"/>
        </w:rPr>
        <w:t>前提</w:t>
      </w:r>
      <w:r>
        <w:rPr>
          <w:rFonts w:hint="eastAsia"/>
          <w:color w:val="FF0000"/>
          <w:sz w:val="28"/>
          <w:szCs w:val="28"/>
        </w:rPr>
        <w:t>：</w:t>
      </w:r>
      <w:r>
        <w:rPr>
          <w:color w:val="FF0000"/>
          <w:sz w:val="28"/>
          <w:szCs w:val="28"/>
        </w:rPr>
        <w:t>当</w:t>
      </w:r>
      <w:r>
        <w:rPr>
          <w:rFonts w:hint="eastAsia"/>
          <w:color w:val="FF0000"/>
          <w:sz w:val="28"/>
          <w:szCs w:val="28"/>
        </w:rPr>
        <w:t>生产企业授权配送企业议价同时建立了配送关系，配送企业才能维护议价单</w:t>
      </w:r>
    </w:p>
    <w:p>
      <w:pPr>
        <w:ind w:left="283"/>
        <w:jc w:val="left"/>
        <w:rPr>
          <w:sz w:val="28"/>
          <w:szCs w:val="28"/>
        </w:rPr>
      </w:pPr>
      <w:r>
        <w:rPr>
          <w:rFonts w:hint="eastAsia"/>
          <w:sz w:val="28"/>
          <w:szCs w:val="28"/>
        </w:rPr>
        <w:t>1、系统功能说明</w:t>
      </w:r>
    </w:p>
    <w:p>
      <w:pPr>
        <w:pStyle w:val="11"/>
        <w:ind w:left="210" w:leftChars="100" w:firstLine="0" w:firstLineChars="0"/>
        <w:jc w:val="left"/>
        <w:rPr>
          <w:sz w:val="28"/>
          <w:szCs w:val="28"/>
        </w:rPr>
      </w:pPr>
      <w:r>
        <w:rPr>
          <w:rFonts w:hint="eastAsia"/>
          <w:sz w:val="28"/>
          <w:szCs w:val="28"/>
        </w:rPr>
        <w:t>议价管理主要是处理医疗机构发起的议价申请以及查看议价单。</w:t>
      </w:r>
    </w:p>
    <w:p>
      <w:pPr>
        <w:ind w:left="141"/>
        <w:jc w:val="left"/>
        <w:rPr>
          <w:sz w:val="28"/>
          <w:szCs w:val="28"/>
        </w:rPr>
      </w:pPr>
      <w:r>
        <w:rPr>
          <w:sz w:val="28"/>
          <w:szCs w:val="28"/>
        </w:rPr>
        <w:t>2</w:t>
      </w:r>
      <w:r>
        <w:rPr>
          <w:rFonts w:hint="eastAsia"/>
          <w:sz w:val="28"/>
          <w:szCs w:val="28"/>
        </w:rPr>
        <w:t>、系统操作说明</w:t>
      </w:r>
    </w:p>
    <w:p>
      <w:pPr>
        <w:pStyle w:val="11"/>
        <w:numPr>
          <w:ilvl w:val="0"/>
          <w:numId w:val="3"/>
        </w:numPr>
        <w:ind w:left="210" w:leftChars="100" w:firstLineChars="0"/>
        <w:jc w:val="left"/>
        <w:rPr>
          <w:sz w:val="28"/>
          <w:szCs w:val="28"/>
        </w:rPr>
      </w:pPr>
      <w:r>
        <w:rPr>
          <w:rFonts w:hint="eastAsia"/>
          <w:sz w:val="28"/>
          <w:szCs w:val="28"/>
        </w:rPr>
        <w:t>议价单列表</w:t>
      </w:r>
    </w:p>
    <w:p>
      <w:r>
        <w:rPr>
          <w:rFonts w:hint="eastAsia"/>
          <w:sz w:val="28"/>
          <w:szCs w:val="28"/>
        </w:rPr>
        <w:t>点击左侧菜单【</w:t>
      </w:r>
      <w:r>
        <w:rPr>
          <w:rFonts w:hint="eastAsia"/>
          <w:b/>
          <w:bCs/>
          <w:sz w:val="28"/>
          <w:szCs w:val="28"/>
        </w:rPr>
        <w:t>议价管理-议价单列表</w:t>
      </w:r>
      <w:r>
        <w:rPr>
          <w:rFonts w:hint="eastAsia"/>
          <w:sz w:val="28"/>
          <w:szCs w:val="28"/>
        </w:rPr>
        <w:t>】进入议价单列表查看页面</w:t>
      </w:r>
    </w:p>
    <w:p>
      <w:r>
        <w:drawing>
          <wp:inline distT="0" distB="0" distL="0" distR="0">
            <wp:extent cx="5274310" cy="2621280"/>
            <wp:effectExtent l="0" t="0" r="254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2621280"/>
                    </a:xfrm>
                    <a:prstGeom prst="rect">
                      <a:avLst/>
                    </a:prstGeom>
                  </pic:spPr>
                </pic:pic>
              </a:graphicData>
            </a:graphic>
          </wp:inline>
        </w:drawing>
      </w:r>
    </w:p>
    <w:p>
      <w:pPr>
        <w:ind w:firstLine="3570" w:firstLineChars="1700"/>
      </w:pPr>
      <w:r>
        <w:t>图</w:t>
      </w:r>
      <w:r>
        <w:rPr>
          <w:rFonts w:hint="eastAsia"/>
        </w:rPr>
        <w:t>（</w:t>
      </w:r>
      <w:r>
        <w:t>13</w:t>
      </w:r>
      <w:r>
        <w:rPr>
          <w:rFonts w:hint="eastAsia"/>
        </w:rPr>
        <w:t>）</w:t>
      </w:r>
    </w:p>
    <w:p>
      <w:pPr>
        <w:rPr>
          <w:color w:val="0000FF"/>
        </w:rPr>
      </w:pPr>
      <w:r>
        <w:rPr>
          <w:rFonts w:hint="eastAsia"/>
          <w:color w:val="0000FF"/>
        </w:rPr>
        <w:t>1</w:t>
      </w:r>
      <w:r>
        <w:rPr>
          <w:color w:val="0000FF"/>
        </w:rPr>
        <w:t>.</w:t>
      </w:r>
      <w:r>
        <w:rPr>
          <w:rFonts w:hint="eastAsia"/>
          <w:color w:val="0000FF"/>
        </w:rPr>
        <w:t>点击待处理议价单栏，可看到医疗机构提交的议价单。</w:t>
      </w:r>
    </w:p>
    <w:p>
      <w:pPr>
        <w:rPr>
          <w:color w:val="0000FF"/>
        </w:rPr>
      </w:pPr>
      <w:r>
        <w:rPr>
          <w:rFonts w:hint="eastAsia"/>
          <w:color w:val="0000FF"/>
        </w:rPr>
        <w:t>你可在图（</w:t>
      </w:r>
      <w:r>
        <w:rPr>
          <w:color w:val="0000FF"/>
        </w:rPr>
        <w:t>13</w:t>
      </w:r>
      <w:r>
        <w:rPr>
          <w:rFonts w:hint="eastAsia"/>
          <w:color w:val="0000FF"/>
        </w:rPr>
        <w:t>）操作一栏点击企业还价按钮，出现如图（</w:t>
      </w:r>
      <w:r>
        <w:rPr>
          <w:color w:val="0000FF"/>
        </w:rPr>
        <w:t>14</w:t>
      </w:r>
      <w:r>
        <w:rPr>
          <w:rFonts w:hint="eastAsia"/>
          <w:color w:val="0000FF"/>
        </w:rPr>
        <w:t>）所示页面。在议定价格一栏输入你想还价的价格，随之点击还价按钮，即可完成还价，直至一方同意妥协</w:t>
      </w:r>
    </w:p>
    <w:p>
      <w:pPr>
        <w:rPr>
          <w:color w:val="0000FF"/>
        </w:rPr>
      </w:pPr>
      <w:r>
        <w:rPr>
          <w:color w:val="0000FF"/>
        </w:rPr>
        <w:t>也可直接在图</w:t>
      </w:r>
      <w:r>
        <w:rPr>
          <w:rFonts w:hint="eastAsia"/>
          <w:color w:val="0000FF"/>
        </w:rPr>
        <w:t>（</w:t>
      </w:r>
      <w:r>
        <w:rPr>
          <w:color w:val="0000FF"/>
        </w:rPr>
        <w:t>13</w:t>
      </w:r>
      <w:r>
        <w:rPr>
          <w:rFonts w:hint="eastAsia"/>
          <w:color w:val="0000FF"/>
        </w:rPr>
        <w:t>）</w:t>
      </w:r>
      <w:r>
        <w:rPr>
          <w:color w:val="0000FF"/>
        </w:rPr>
        <w:t>操作一栏点击同意或拒绝按钮</w:t>
      </w:r>
      <w:r>
        <w:rPr>
          <w:rFonts w:hint="eastAsia"/>
          <w:color w:val="0000FF"/>
        </w:rPr>
        <w:t>，</w:t>
      </w:r>
      <w:r>
        <w:rPr>
          <w:color w:val="0000FF"/>
        </w:rPr>
        <w:t>同意还价</w:t>
      </w:r>
      <w:r>
        <w:rPr>
          <w:rFonts w:hint="eastAsia"/>
          <w:color w:val="0000FF"/>
        </w:rPr>
        <w:t>，</w:t>
      </w:r>
      <w:r>
        <w:rPr>
          <w:color w:val="0000FF"/>
        </w:rPr>
        <w:t>则议价单生效</w:t>
      </w:r>
      <w:r>
        <w:rPr>
          <w:rFonts w:hint="eastAsia"/>
          <w:color w:val="0000FF"/>
        </w:rPr>
        <w:t>。</w:t>
      </w:r>
      <w:r>
        <w:rPr>
          <w:color w:val="0000FF"/>
        </w:rPr>
        <w:t>如果拒绝还价</w:t>
      </w:r>
      <w:r>
        <w:rPr>
          <w:rFonts w:hint="eastAsia"/>
          <w:color w:val="0000FF"/>
        </w:rPr>
        <w:t>，</w:t>
      </w:r>
      <w:r>
        <w:rPr>
          <w:color w:val="0000FF"/>
        </w:rPr>
        <w:t>则议价单作废</w:t>
      </w:r>
    </w:p>
    <w:p>
      <w:r>
        <w:drawing>
          <wp:inline distT="0" distB="0" distL="0" distR="0">
            <wp:extent cx="5274310" cy="2601595"/>
            <wp:effectExtent l="0" t="0" r="2540"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601595"/>
                    </a:xfrm>
                    <a:prstGeom prst="rect">
                      <a:avLst/>
                    </a:prstGeom>
                  </pic:spPr>
                </pic:pic>
              </a:graphicData>
            </a:graphic>
          </wp:inline>
        </w:drawing>
      </w:r>
    </w:p>
    <w:p>
      <w:pPr>
        <w:ind w:firstLine="3990" w:firstLineChars="1900"/>
      </w:pPr>
      <w:r>
        <w:t>图</w:t>
      </w:r>
      <w:r>
        <w:rPr>
          <w:rFonts w:hint="eastAsia"/>
        </w:rPr>
        <w:t>（</w:t>
      </w:r>
      <w:r>
        <w:t>14</w:t>
      </w:r>
      <w:r>
        <w:rPr>
          <w:rFonts w:hint="eastAsia"/>
        </w:rPr>
        <w:t>）</w:t>
      </w:r>
    </w:p>
    <w:p>
      <w:pPr>
        <w:rPr>
          <w:color w:val="0000FF"/>
        </w:rPr>
      </w:pPr>
      <w:r>
        <w:rPr>
          <w:rFonts w:hint="eastAsia"/>
          <w:color w:val="0000FF"/>
        </w:rPr>
        <w:t>2</w:t>
      </w:r>
      <w:r>
        <w:rPr>
          <w:color w:val="0000FF"/>
        </w:rPr>
        <w:t>.点击生效中议价单栏</w:t>
      </w:r>
      <w:r>
        <w:rPr>
          <w:rFonts w:hint="eastAsia"/>
          <w:color w:val="0000FF"/>
        </w:rPr>
        <w:t>，</w:t>
      </w:r>
      <w:r>
        <w:rPr>
          <w:color w:val="0000FF"/>
        </w:rPr>
        <w:t>可看到生效中的议价单</w:t>
      </w:r>
      <w:r>
        <w:rPr>
          <w:rFonts w:hint="eastAsia"/>
          <w:color w:val="0000FF"/>
        </w:rPr>
        <w:t>，</w:t>
      </w:r>
      <w:r>
        <w:rPr>
          <w:color w:val="0000FF"/>
        </w:rPr>
        <w:t>如图</w:t>
      </w:r>
      <w:r>
        <w:rPr>
          <w:rFonts w:hint="eastAsia"/>
          <w:color w:val="0000FF"/>
        </w:rPr>
        <w:t>（</w:t>
      </w:r>
      <w:r>
        <w:rPr>
          <w:color w:val="0000FF"/>
        </w:rPr>
        <w:t>15</w:t>
      </w:r>
      <w:r>
        <w:rPr>
          <w:rFonts w:hint="eastAsia"/>
          <w:color w:val="0000FF"/>
        </w:rPr>
        <w:t>）</w:t>
      </w:r>
      <w:r>
        <w:rPr>
          <w:color w:val="0000FF"/>
        </w:rPr>
        <w:t>所示</w:t>
      </w:r>
      <w:r>
        <w:rPr>
          <w:rFonts w:hint="eastAsia"/>
          <w:color w:val="0000FF"/>
        </w:rPr>
        <w:t>，</w:t>
      </w:r>
      <w:r>
        <w:rPr>
          <w:color w:val="0000FF"/>
        </w:rPr>
        <w:t>在图</w:t>
      </w:r>
      <w:r>
        <w:rPr>
          <w:rFonts w:hint="eastAsia"/>
          <w:color w:val="0000FF"/>
        </w:rPr>
        <w:t>（</w:t>
      </w:r>
      <w:r>
        <w:rPr>
          <w:color w:val="0000FF"/>
        </w:rPr>
        <w:t>15</w:t>
      </w:r>
      <w:r>
        <w:rPr>
          <w:rFonts w:hint="eastAsia"/>
          <w:color w:val="0000FF"/>
        </w:rPr>
        <w:t>）</w:t>
      </w:r>
      <w:r>
        <w:rPr>
          <w:color w:val="0000FF"/>
        </w:rPr>
        <w:t>操作一栏点击解除议价单按钮可解除议价单</w:t>
      </w:r>
      <w:r>
        <w:rPr>
          <w:rFonts w:hint="eastAsia"/>
          <w:color w:val="0000FF"/>
        </w:rPr>
        <w:t>，</w:t>
      </w:r>
      <w:r>
        <w:rPr>
          <w:color w:val="0000FF"/>
        </w:rPr>
        <w:t>等待另一方同意解除或者拒绝解除</w:t>
      </w:r>
      <w:r>
        <w:rPr>
          <w:rFonts w:hint="eastAsia"/>
          <w:color w:val="0000FF"/>
        </w:rPr>
        <w:t>，</w:t>
      </w:r>
      <w:r>
        <w:rPr>
          <w:color w:val="0000FF"/>
        </w:rPr>
        <w:t>另一方同意解除</w:t>
      </w:r>
      <w:r>
        <w:rPr>
          <w:rFonts w:hint="eastAsia"/>
          <w:color w:val="0000FF"/>
        </w:rPr>
        <w:t>，</w:t>
      </w:r>
      <w:r>
        <w:rPr>
          <w:color w:val="0000FF"/>
        </w:rPr>
        <w:t>则议价单作废</w:t>
      </w:r>
    </w:p>
    <w:p>
      <w:pPr>
        <w:rPr>
          <w:color w:val="0000FF"/>
        </w:rPr>
      </w:pPr>
      <w:r>
        <w:rPr>
          <w:color w:val="0000FF"/>
        </w:rPr>
        <w:drawing>
          <wp:inline distT="0" distB="0" distL="0" distR="0">
            <wp:extent cx="5274310" cy="2604135"/>
            <wp:effectExtent l="0" t="0" r="2540"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2604135"/>
                    </a:xfrm>
                    <a:prstGeom prst="rect">
                      <a:avLst/>
                    </a:prstGeom>
                  </pic:spPr>
                </pic:pic>
              </a:graphicData>
            </a:graphic>
          </wp:inline>
        </w:drawing>
      </w:r>
    </w:p>
    <w:p>
      <w:pPr>
        <w:ind w:firstLine="3780" w:firstLineChars="1800"/>
        <w:rPr>
          <w:color w:val="0000FF"/>
        </w:rPr>
      </w:pPr>
      <w:r>
        <w:rPr>
          <w:color w:val="0000FF"/>
        </w:rPr>
        <w:t>图</w:t>
      </w:r>
      <w:r>
        <w:rPr>
          <w:rFonts w:hint="eastAsia"/>
          <w:color w:val="0000FF"/>
        </w:rPr>
        <w:t>（</w:t>
      </w:r>
      <w:r>
        <w:rPr>
          <w:color w:val="0000FF"/>
        </w:rPr>
        <w:t>15</w:t>
      </w:r>
      <w:r>
        <w:rPr>
          <w:rFonts w:hint="eastAsia"/>
          <w:color w:val="0000FF"/>
        </w:rPr>
        <w:t>）</w:t>
      </w:r>
    </w:p>
    <w:p>
      <w:pPr>
        <w:rPr>
          <w:color w:val="0000FF"/>
        </w:rPr>
      </w:pPr>
      <w:r>
        <w:rPr>
          <w:color w:val="0000FF"/>
        </w:rPr>
        <w:t>3.点击</w:t>
      </w:r>
      <w:r>
        <w:rPr>
          <w:rFonts w:hint="eastAsia"/>
          <w:color w:val="0000FF"/>
        </w:rPr>
        <w:t>已作废</w:t>
      </w:r>
      <w:r>
        <w:rPr>
          <w:color w:val="0000FF"/>
        </w:rPr>
        <w:t>议价单栏</w:t>
      </w:r>
      <w:r>
        <w:rPr>
          <w:rFonts w:hint="eastAsia"/>
          <w:color w:val="0000FF"/>
        </w:rPr>
        <w:t>，</w:t>
      </w:r>
      <w:r>
        <w:rPr>
          <w:color w:val="0000FF"/>
        </w:rPr>
        <w:t>可看到</w:t>
      </w:r>
      <w:r>
        <w:rPr>
          <w:rFonts w:hint="eastAsia"/>
          <w:color w:val="0000FF"/>
        </w:rPr>
        <w:t>已</w:t>
      </w:r>
      <w:r>
        <w:rPr>
          <w:color w:val="0000FF"/>
        </w:rPr>
        <w:t>撤销的议价单</w:t>
      </w:r>
      <w:r>
        <w:rPr>
          <w:rFonts w:hint="eastAsia"/>
          <w:color w:val="0000FF"/>
        </w:rPr>
        <w:t>，</w:t>
      </w:r>
      <w:r>
        <w:rPr>
          <w:color w:val="0000FF"/>
        </w:rPr>
        <w:t>如图</w:t>
      </w:r>
      <w:r>
        <w:rPr>
          <w:rFonts w:hint="eastAsia"/>
          <w:color w:val="0000FF"/>
        </w:rPr>
        <w:t>（</w:t>
      </w:r>
      <w:r>
        <w:rPr>
          <w:color w:val="0000FF"/>
        </w:rPr>
        <w:t>16</w:t>
      </w:r>
      <w:r>
        <w:rPr>
          <w:rFonts w:hint="eastAsia"/>
          <w:color w:val="0000FF"/>
        </w:rPr>
        <w:t>）</w:t>
      </w:r>
      <w:r>
        <w:rPr>
          <w:color w:val="0000FF"/>
        </w:rPr>
        <w:t>所示</w:t>
      </w:r>
    </w:p>
    <w:p>
      <w:r>
        <w:drawing>
          <wp:inline distT="0" distB="0" distL="0" distR="0">
            <wp:extent cx="5274310" cy="2602230"/>
            <wp:effectExtent l="0" t="0" r="254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2602230"/>
                    </a:xfrm>
                    <a:prstGeom prst="rect">
                      <a:avLst/>
                    </a:prstGeom>
                  </pic:spPr>
                </pic:pic>
              </a:graphicData>
            </a:graphic>
          </wp:inline>
        </w:drawing>
      </w:r>
    </w:p>
    <w:p>
      <w:pPr>
        <w:ind w:firstLine="3780" w:firstLineChars="1800"/>
      </w:pPr>
      <w:r>
        <w:t>图</w:t>
      </w:r>
      <w:r>
        <w:rPr>
          <w:rFonts w:hint="eastAsia"/>
        </w:rPr>
        <w:t>（</w:t>
      </w:r>
      <w:r>
        <w:t>16</w:t>
      </w:r>
      <w:r>
        <w:rPr>
          <w:rFonts w:hint="eastAsia"/>
        </w:rPr>
        <w:t>）</w:t>
      </w:r>
    </w:p>
    <w:p>
      <w:pPr>
        <w:rPr>
          <w:color w:val="FF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Batang">
    <w:panose1 w:val="02030600000101010101"/>
    <w:charset w:val="81"/>
    <w:family w:val="auto"/>
    <w:pitch w:val="default"/>
    <w:sig w:usb0="B00002AF" w:usb1="69D77CFB" w:usb2="00000030" w:usb3="00000000" w:csb0="4008009F" w:csb1="DFD7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Microsoft YaHei UI">
    <w:panose1 w:val="020B0503020204020204"/>
    <w:charset w:val="86"/>
    <w:family w:val="swiss"/>
    <w:pitch w:val="default"/>
    <w:sig w:usb0="80000287" w:usb1="28C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28E3438"/>
    <w:multiLevelType w:val="multilevel"/>
    <w:tmpl w:val="328E3438"/>
    <w:lvl w:ilvl="0" w:tentative="0">
      <w:start w:val="1"/>
      <w:numFmt w:val="decimal"/>
      <w:lvlText w:val="%1"/>
      <w:lvlJc w:val="left"/>
      <w:pPr>
        <w:ind w:left="425" w:hanging="425"/>
      </w:pPr>
      <w:rPr>
        <w:rFonts w:hint="eastAsia"/>
      </w:rPr>
    </w:lvl>
    <w:lvl w:ilvl="1" w:tentative="0">
      <w:start w:val="1"/>
      <w:numFmt w:val="decimal"/>
      <w:pStyle w:val="3"/>
      <w:lvlText w:val="%1.%2"/>
      <w:lvlJc w:val="left"/>
      <w:pPr>
        <w:ind w:left="567"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57423D40"/>
    <w:multiLevelType w:val="multilevel"/>
    <w:tmpl w:val="57423D40"/>
    <w:lvl w:ilvl="0" w:tentative="0">
      <w:start w:val="1"/>
      <w:numFmt w:val="chineseCountingThousand"/>
      <w:pStyle w:val="2"/>
      <w:lvlText w:val="%1、"/>
      <w:lvlJc w:val="left"/>
      <w:pPr>
        <w:ind w:left="420" w:hanging="420"/>
      </w:pPr>
    </w:lvl>
    <w:lvl w:ilvl="1" w:tentative="0">
      <w:start w:val="1"/>
      <w:numFmt w:val="decimal"/>
      <w:lvlText w:val="%2、"/>
      <w:lvlJc w:val="left"/>
      <w:pPr>
        <w:ind w:left="72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8A71654"/>
    <w:multiLevelType w:val="multilevel"/>
    <w:tmpl w:val="68A71654"/>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num w:numId="1">
    <w:abstractNumId w:val="1"/>
  </w:num>
  <w:num w:numId="2">
    <w:abstractNumId w:val="0"/>
  </w:num>
  <w:num w:numId="3">
    <w:abstractNumId w:val="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JhYjU1MDhiNDc4ZmQxMGE2OGUzNTBjY2QxYzYzNDIifQ=="/>
  </w:docVars>
  <w:rsids>
    <w:rsidRoot w:val="000A1DA6"/>
    <w:rsid w:val="00002A2D"/>
    <w:rsid w:val="000A1DA6"/>
    <w:rsid w:val="002439BE"/>
    <w:rsid w:val="00282D89"/>
    <w:rsid w:val="002B0836"/>
    <w:rsid w:val="002B330A"/>
    <w:rsid w:val="003947B4"/>
    <w:rsid w:val="003D248F"/>
    <w:rsid w:val="003F3A6B"/>
    <w:rsid w:val="00443BFE"/>
    <w:rsid w:val="004974AB"/>
    <w:rsid w:val="00666480"/>
    <w:rsid w:val="00766CE2"/>
    <w:rsid w:val="008625E0"/>
    <w:rsid w:val="0087271C"/>
    <w:rsid w:val="00897C1E"/>
    <w:rsid w:val="009562A6"/>
    <w:rsid w:val="00991C8B"/>
    <w:rsid w:val="009B52BC"/>
    <w:rsid w:val="009E5B9A"/>
    <w:rsid w:val="00A07EAB"/>
    <w:rsid w:val="00A3602E"/>
    <w:rsid w:val="00AA1882"/>
    <w:rsid w:val="00B46442"/>
    <w:rsid w:val="00B468D0"/>
    <w:rsid w:val="00B8191F"/>
    <w:rsid w:val="00B90E65"/>
    <w:rsid w:val="00BE13C7"/>
    <w:rsid w:val="00BF2A9E"/>
    <w:rsid w:val="00C42C8F"/>
    <w:rsid w:val="00CA518C"/>
    <w:rsid w:val="00CD315C"/>
    <w:rsid w:val="00CD3CB8"/>
    <w:rsid w:val="00D1154B"/>
    <w:rsid w:val="00D53CD4"/>
    <w:rsid w:val="00D60AA0"/>
    <w:rsid w:val="00D96D13"/>
    <w:rsid w:val="00E13481"/>
    <w:rsid w:val="00E33B2A"/>
    <w:rsid w:val="00EE2D13"/>
    <w:rsid w:val="00F76C67"/>
    <w:rsid w:val="00FE3D44"/>
    <w:rsid w:val="7D8E0B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9"/>
    <w:qFormat/>
    <w:uiPriority w:val="9"/>
    <w:pPr>
      <w:keepNext/>
      <w:keepLines/>
      <w:numPr>
        <w:ilvl w:val="0"/>
        <w:numId w:val="1"/>
      </w:numPr>
      <w:spacing w:before="340" w:after="330" w:line="578" w:lineRule="auto"/>
      <w:outlineLvl w:val="0"/>
    </w:pPr>
    <w:rPr>
      <w:b/>
      <w:bCs/>
      <w:kern w:val="44"/>
      <w:sz w:val="32"/>
      <w:szCs w:val="44"/>
    </w:rPr>
  </w:style>
  <w:style w:type="paragraph" w:styleId="3">
    <w:name w:val="heading 2"/>
    <w:basedOn w:val="1"/>
    <w:next w:val="1"/>
    <w:link w:val="10"/>
    <w:unhideWhenUsed/>
    <w:qFormat/>
    <w:uiPriority w:val="9"/>
    <w:pPr>
      <w:keepNext/>
      <w:keepLines/>
      <w:numPr>
        <w:ilvl w:val="1"/>
        <w:numId w:val="2"/>
      </w:numPr>
      <w:spacing w:before="260" w:after="260" w:line="416" w:lineRule="auto"/>
      <w:ind w:left="992"/>
      <w:outlineLvl w:val="1"/>
    </w:pPr>
    <w:rPr>
      <w:rFonts w:asciiTheme="majorHAnsi" w:hAnsiTheme="majorHAnsi" w:eastAsiaTheme="majorEastAsia" w:cstheme="majorBidi"/>
      <w:b/>
      <w:bCs/>
      <w:sz w:val="32"/>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4"/>
    <w:unhideWhenUsed/>
    <w:qFormat/>
    <w:uiPriority w:val="99"/>
    <w:pPr>
      <w:tabs>
        <w:tab w:val="center" w:pos="4153"/>
        <w:tab w:val="right" w:pos="8306"/>
      </w:tabs>
      <w:snapToGrid w:val="0"/>
      <w:jc w:val="left"/>
    </w:pPr>
    <w:rPr>
      <w:sz w:val="18"/>
      <w:szCs w:val="18"/>
    </w:rPr>
  </w:style>
  <w:style w:type="paragraph" w:styleId="5">
    <w:name w:val="header"/>
    <w:basedOn w:val="1"/>
    <w:link w:val="13"/>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75" w:after="75"/>
      <w:jc w:val="left"/>
    </w:pPr>
    <w:rPr>
      <w:rFonts w:ascii="宋体" w:hAnsi="宋体" w:cs="宋体"/>
      <w:kern w:val="0"/>
      <w:sz w:val="24"/>
      <w:szCs w:val="24"/>
    </w:rPr>
  </w:style>
  <w:style w:type="character" w:customStyle="1" w:styleId="9">
    <w:name w:val="标题 1 Char"/>
    <w:basedOn w:val="8"/>
    <w:link w:val="2"/>
    <w:qFormat/>
    <w:uiPriority w:val="9"/>
    <w:rPr>
      <w:rFonts w:ascii="Times New Roman" w:hAnsi="Times New Roman" w:eastAsia="宋体" w:cs="Times New Roman"/>
      <w:b/>
      <w:bCs/>
      <w:kern w:val="44"/>
      <w:sz w:val="32"/>
      <w:szCs w:val="44"/>
    </w:rPr>
  </w:style>
  <w:style w:type="character" w:customStyle="1" w:styleId="10">
    <w:name w:val="标题 2 Char"/>
    <w:basedOn w:val="8"/>
    <w:link w:val="3"/>
    <w:qFormat/>
    <w:uiPriority w:val="9"/>
    <w:rPr>
      <w:rFonts w:asciiTheme="majorHAnsi" w:hAnsiTheme="majorHAnsi" w:eastAsiaTheme="majorEastAsia" w:cstheme="majorBidi"/>
      <w:b/>
      <w:bCs/>
      <w:sz w:val="32"/>
      <w:szCs w:val="32"/>
    </w:rPr>
  </w:style>
  <w:style w:type="paragraph" w:styleId="11">
    <w:name w:val="List Paragraph"/>
    <w:basedOn w:val="1"/>
    <w:qFormat/>
    <w:uiPriority w:val="34"/>
    <w:pPr>
      <w:ind w:firstLine="420" w:firstLineChars="200"/>
    </w:pPr>
  </w:style>
  <w:style w:type="paragraph" w:customStyle="1" w:styleId="12">
    <w:name w:val="列出段落1"/>
    <w:basedOn w:val="1"/>
    <w:qFormat/>
    <w:uiPriority w:val="34"/>
    <w:pPr>
      <w:ind w:firstLine="420" w:firstLineChars="200"/>
    </w:pPr>
  </w:style>
  <w:style w:type="character" w:customStyle="1" w:styleId="13">
    <w:name w:val="页眉 Char"/>
    <w:basedOn w:val="8"/>
    <w:link w:val="5"/>
    <w:qFormat/>
    <w:uiPriority w:val="99"/>
    <w:rPr>
      <w:rFonts w:ascii="Times New Roman" w:hAnsi="Times New Roman" w:eastAsia="宋体" w:cs="Times New Roman"/>
      <w:sz w:val="18"/>
      <w:szCs w:val="18"/>
    </w:rPr>
  </w:style>
  <w:style w:type="character" w:customStyle="1" w:styleId="14">
    <w:name w:val="页脚 Char"/>
    <w:basedOn w:val="8"/>
    <w:link w:val="4"/>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0E6648-E8DD-4DF9-98FA-B78A8141A298}">
  <ds:schemaRefs/>
</ds:datastoreItem>
</file>

<file path=docProps/app.xml><?xml version="1.0" encoding="utf-8"?>
<Properties xmlns="http://schemas.openxmlformats.org/officeDocument/2006/extended-properties" xmlns:vt="http://schemas.openxmlformats.org/officeDocument/2006/docPropsVTypes">
  <Template>Normal.dotm</Template>
  <Pages>12</Pages>
  <Words>2234</Words>
  <Characters>2290</Characters>
  <Lines>17</Lines>
  <Paragraphs>4</Paragraphs>
  <TotalTime>4</TotalTime>
  <ScaleCrop>false</ScaleCrop>
  <LinksUpToDate>false</LinksUpToDate>
  <CharactersWithSpaces>2337</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2021-09-22T06:04:00Z</dcterms:created>
  <dc:creator>ELIAN-FM-JSJ297</dc:creator>
  <cp:lastModifiedBy>sarah</cp:lastModifiedBy>
  <dcterms:modified xsi:type="dcterms:W3CDTF">2022-07-21T08:21:09Z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0BEF23D4C47A49EAB7566208E3E0337A</vt:lpwstr>
  </property>
</Properties>
</file>